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204ED" w14:textId="7944F049" w:rsidR="002D738F" w:rsidRPr="00E40693" w:rsidRDefault="00B36254" w:rsidP="00D65B90">
      <w:pPr>
        <w:pStyle w:val="Title"/>
        <w:rPr>
          <w:lang w:val="fr-CA"/>
        </w:rPr>
      </w:pPr>
      <w:r w:rsidRPr="00E40693">
        <w:rPr>
          <w:lang w:val="fr-CA"/>
        </w:rPr>
        <w:t>Le colonialisme au Canada: Cartes d’évènements</w:t>
      </w:r>
    </w:p>
    <w:p w14:paraId="52CCE313" w14:textId="398AAED2" w:rsidR="003A0046" w:rsidRPr="00E40693" w:rsidRDefault="003A0046" w:rsidP="00D65B90">
      <w:pPr>
        <w:rPr>
          <w:lang w:val="fr-CA"/>
        </w:rPr>
      </w:pPr>
    </w:p>
    <w:tbl>
      <w:tblPr>
        <w:tblStyle w:val="TableGrid"/>
        <w:tblW w:w="5000" w:type="pct"/>
        <w:tblLook w:val="04A0" w:firstRow="1" w:lastRow="0" w:firstColumn="1" w:lastColumn="0" w:noHBand="0" w:noVBand="1"/>
      </w:tblPr>
      <w:tblGrid>
        <w:gridCol w:w="4981"/>
        <w:gridCol w:w="4981"/>
      </w:tblGrid>
      <w:tr w:rsidR="003A0046" w:rsidRPr="00461CC3" w14:paraId="5D88A1C8" w14:textId="77777777" w:rsidTr="00D65B90">
        <w:tc>
          <w:tcPr>
            <w:tcW w:w="2500" w:type="pct"/>
            <w:tcMar>
              <w:top w:w="288" w:type="dxa"/>
              <w:left w:w="288" w:type="dxa"/>
              <w:bottom w:w="288" w:type="dxa"/>
              <w:right w:w="288" w:type="dxa"/>
            </w:tcMar>
          </w:tcPr>
          <w:p w14:paraId="44F44C0C" w14:textId="77777777" w:rsidR="003A0046" w:rsidRPr="00E40693" w:rsidRDefault="00FD4BB1" w:rsidP="00CB30C9">
            <w:pPr>
              <w:pStyle w:val="Heading1"/>
              <w:rPr>
                <w:lang w:val="fr-CA"/>
              </w:rPr>
            </w:pPr>
            <w:r w:rsidRPr="00E40693">
              <w:rPr>
                <w:lang w:val="fr-CA"/>
              </w:rPr>
              <w:t xml:space="preserve">Construction du chemin de fer </w:t>
            </w:r>
            <w:r w:rsidR="00045E04" w:rsidRPr="00E40693">
              <w:rPr>
                <w:lang w:val="fr-CA"/>
              </w:rPr>
              <w:t>du</w:t>
            </w:r>
            <w:r w:rsidRPr="00E40693">
              <w:rPr>
                <w:lang w:val="fr-CA"/>
              </w:rPr>
              <w:t xml:space="preserve"> Canadien Pacifique</w:t>
            </w:r>
            <w:r w:rsidR="264776A1" w:rsidRPr="00E40693">
              <w:rPr>
                <w:lang w:val="fr-CA"/>
              </w:rPr>
              <w:t xml:space="preserve"> </w:t>
            </w:r>
          </w:p>
          <w:p w14:paraId="039DA19C" w14:textId="77777777" w:rsidR="00045E04" w:rsidRPr="00E40693" w:rsidRDefault="00045E04" w:rsidP="00CB30C9">
            <w:pPr>
              <w:rPr>
                <w:lang w:val="fr-CA"/>
              </w:rPr>
            </w:pPr>
            <w:r w:rsidRPr="00E40693">
              <w:rPr>
                <w:lang w:val="fr-CA"/>
              </w:rPr>
              <w:t>« D’un océan à l’autre »</w:t>
            </w:r>
          </w:p>
          <w:p w14:paraId="53E3F80E" w14:textId="7D501FD7" w:rsidR="00A1196C" w:rsidRPr="00E40693" w:rsidRDefault="00BB1EC0" w:rsidP="00CB30C9">
            <w:pPr>
              <w:rPr>
                <w:lang w:val="fr-CA"/>
              </w:rPr>
            </w:pPr>
            <w:r w:rsidRPr="00E40693">
              <w:rPr>
                <w:lang w:val="fr-CA"/>
              </w:rPr>
              <w:t xml:space="preserve">Sous le premier ministre John A. MacDonald, le chemin de fer du Canadien Pacifique </w:t>
            </w:r>
            <w:r w:rsidR="006958E2" w:rsidRPr="00E40693">
              <w:rPr>
                <w:lang w:val="fr-CA"/>
              </w:rPr>
              <w:t xml:space="preserve">fut créé en 1881 </w:t>
            </w:r>
            <w:r w:rsidR="00B43C82" w:rsidRPr="00E40693">
              <w:rPr>
                <w:lang w:val="fr-CA"/>
              </w:rPr>
              <w:t xml:space="preserve">pour </w:t>
            </w:r>
            <w:r w:rsidR="009E2AA9" w:rsidRPr="00E40693">
              <w:rPr>
                <w:lang w:val="fr-CA"/>
              </w:rPr>
              <w:t xml:space="preserve">ouvrir les régions éloignées à la colonisation, pour le transport er pour des raisons nationalistes. </w:t>
            </w:r>
            <w:r w:rsidR="002317FF" w:rsidRPr="00E40693">
              <w:rPr>
                <w:lang w:val="fr-CA"/>
              </w:rPr>
              <w:t>Cette construction nécessita l’e</w:t>
            </w:r>
            <w:r w:rsidR="00AD7570" w:rsidRPr="00E40693">
              <w:rPr>
                <w:lang w:val="fr-CA"/>
              </w:rPr>
              <w:t xml:space="preserve">xtraction de nombreuses ressources et l’appropriation de territoires </w:t>
            </w:r>
            <w:r w:rsidR="00E82F14" w:rsidRPr="00E40693">
              <w:rPr>
                <w:lang w:val="fr-CA"/>
              </w:rPr>
              <w:t xml:space="preserve">autochtones. De plus, puisque la nation métisse n’avait pas de traité, elle a été forcée vers le nord </w:t>
            </w:r>
            <w:r w:rsidR="005F1F80" w:rsidRPr="00E40693">
              <w:rPr>
                <w:lang w:val="fr-CA"/>
              </w:rPr>
              <w:t>par les colons s’installant sur les terres tout au long du chemin de fer.</w:t>
            </w:r>
          </w:p>
        </w:tc>
        <w:tc>
          <w:tcPr>
            <w:tcW w:w="2500" w:type="pct"/>
            <w:tcMar>
              <w:top w:w="288" w:type="dxa"/>
              <w:left w:w="288" w:type="dxa"/>
              <w:bottom w:w="288" w:type="dxa"/>
              <w:right w:w="288" w:type="dxa"/>
            </w:tcMar>
          </w:tcPr>
          <w:p w14:paraId="07EA80E3" w14:textId="77777777" w:rsidR="003A0046" w:rsidRPr="00E40693" w:rsidRDefault="0043340E" w:rsidP="00CB30C9">
            <w:pPr>
              <w:pStyle w:val="Heading1"/>
              <w:rPr>
                <w:lang w:val="fr-CA"/>
              </w:rPr>
            </w:pPr>
            <w:r w:rsidRPr="00E40693">
              <w:rPr>
                <w:lang w:val="fr-CA"/>
              </w:rPr>
              <w:t>Rébellion de la rivière Rouge</w:t>
            </w:r>
          </w:p>
          <w:p w14:paraId="6BB017A9" w14:textId="3F60BD6F" w:rsidR="0043340E" w:rsidRPr="00E40693" w:rsidRDefault="0043340E" w:rsidP="00D65B90">
            <w:pPr>
              <w:rPr>
                <w:rFonts w:ascii="Calibri" w:eastAsia="Calibri" w:hAnsi="Calibri" w:cs="Calibri"/>
                <w:lang w:val="fr-CA"/>
              </w:rPr>
            </w:pPr>
            <w:r w:rsidRPr="00E40693">
              <w:rPr>
                <w:rFonts w:ascii="Calibri" w:eastAsia="Calibri" w:hAnsi="Calibri" w:cs="Calibri"/>
                <w:lang w:val="fr-CA"/>
              </w:rPr>
              <w:t>La ré</w:t>
            </w:r>
            <w:r w:rsidR="00726884" w:rsidRPr="00E40693">
              <w:rPr>
                <w:rFonts w:ascii="Calibri" w:eastAsia="Calibri" w:hAnsi="Calibri" w:cs="Calibri"/>
                <w:lang w:val="fr-CA"/>
              </w:rPr>
              <w:t>sistance</w:t>
            </w:r>
            <w:r w:rsidRPr="00E40693">
              <w:rPr>
                <w:rFonts w:ascii="Calibri" w:eastAsia="Calibri" w:hAnsi="Calibri" w:cs="Calibri"/>
                <w:lang w:val="fr-CA"/>
              </w:rPr>
              <w:t xml:space="preserve"> de la rivière Rouge </w:t>
            </w:r>
            <w:r w:rsidR="00726884" w:rsidRPr="00E40693">
              <w:rPr>
                <w:rFonts w:ascii="Calibri" w:eastAsia="Calibri" w:hAnsi="Calibri" w:cs="Calibri"/>
                <w:lang w:val="fr-CA"/>
              </w:rPr>
              <w:t xml:space="preserve">(aussi appelée rébellion) fut un soulèvement </w:t>
            </w:r>
            <w:r w:rsidR="0075041D" w:rsidRPr="00E40693">
              <w:rPr>
                <w:rFonts w:ascii="Calibri" w:eastAsia="Calibri" w:hAnsi="Calibri" w:cs="Calibri"/>
                <w:lang w:val="fr-CA"/>
              </w:rPr>
              <w:t xml:space="preserve">en 1869-1870 dans la colonie de la rivière Rouge. La résistance </w:t>
            </w:r>
            <w:r w:rsidR="008E7F19" w:rsidRPr="00E40693">
              <w:rPr>
                <w:rFonts w:ascii="Calibri" w:eastAsia="Calibri" w:hAnsi="Calibri" w:cs="Calibri"/>
                <w:lang w:val="fr-CA"/>
              </w:rPr>
              <w:t>a été provoquée par le transfère d’un vaste territoire de la Terre de Rupert</w:t>
            </w:r>
            <w:r w:rsidR="00E37BA0" w:rsidRPr="00E40693">
              <w:rPr>
                <w:rFonts w:ascii="Calibri" w:eastAsia="Calibri" w:hAnsi="Calibri" w:cs="Calibri"/>
                <w:lang w:val="fr-CA"/>
              </w:rPr>
              <w:t xml:space="preserve"> au Dominion du Canada. La colonie</w:t>
            </w:r>
            <w:r w:rsidR="00C14F01" w:rsidRPr="00E40693">
              <w:rPr>
                <w:rFonts w:ascii="Calibri" w:eastAsia="Calibri" w:hAnsi="Calibri" w:cs="Calibri"/>
                <w:lang w:val="fr-CA"/>
              </w:rPr>
              <w:t xml:space="preserve"> de chasseurs et de fermiers, dont plusieurs étaient des Métis, occupait une portion de la Terre de Rupert</w:t>
            </w:r>
            <w:r w:rsidR="00A3660C" w:rsidRPr="00E40693">
              <w:rPr>
                <w:rFonts w:ascii="Calibri" w:eastAsia="Calibri" w:hAnsi="Calibri" w:cs="Calibri"/>
                <w:lang w:val="fr-CA"/>
              </w:rPr>
              <w:t xml:space="preserve"> et </w:t>
            </w:r>
            <w:r w:rsidR="0097276E" w:rsidRPr="00E40693">
              <w:rPr>
                <w:rFonts w:ascii="Calibri" w:eastAsia="Calibri" w:hAnsi="Calibri" w:cs="Calibri"/>
                <w:lang w:val="fr-CA"/>
              </w:rPr>
              <w:t xml:space="preserve">voyait le transfert comme une menace pour leur culture et leurs droits territoriaux. </w:t>
            </w:r>
            <w:r w:rsidR="0090606B" w:rsidRPr="00E40693">
              <w:rPr>
                <w:rFonts w:ascii="Calibri" w:eastAsia="Calibri" w:hAnsi="Calibri" w:cs="Calibri"/>
                <w:lang w:val="fr-CA"/>
              </w:rPr>
              <w:t xml:space="preserve">Les Métis </w:t>
            </w:r>
            <w:r w:rsidR="001A73D1" w:rsidRPr="00E40693">
              <w:rPr>
                <w:rFonts w:ascii="Calibri" w:eastAsia="Calibri" w:hAnsi="Calibri" w:cs="Calibri"/>
                <w:lang w:val="fr-CA"/>
              </w:rPr>
              <w:t>résistèrent et déclarèrent la création d’un gouvernement provisoire</w:t>
            </w:r>
            <w:r w:rsidR="00C429F2" w:rsidRPr="00E40693">
              <w:rPr>
                <w:rFonts w:ascii="Calibri" w:eastAsia="Calibri" w:hAnsi="Calibri" w:cs="Calibri"/>
                <w:lang w:val="fr-CA"/>
              </w:rPr>
              <w:t xml:space="preserve"> pour négocier son entrée dans la Confédération. Le soulèvement mena à la création </w:t>
            </w:r>
            <w:r w:rsidR="00572372" w:rsidRPr="00E40693">
              <w:rPr>
                <w:rFonts w:ascii="Calibri" w:eastAsia="Calibri" w:hAnsi="Calibri" w:cs="Calibri"/>
                <w:lang w:val="fr-CA"/>
              </w:rPr>
              <w:t>de la province du Manitoba et à l’émergence du leadeur métis Louis Riel</w:t>
            </w:r>
            <w:r w:rsidR="0022460B" w:rsidRPr="00E40693">
              <w:rPr>
                <w:rFonts w:ascii="Calibri" w:eastAsia="Calibri" w:hAnsi="Calibri" w:cs="Calibri"/>
                <w:lang w:val="fr-CA"/>
              </w:rPr>
              <w:t xml:space="preserve">, un </w:t>
            </w:r>
            <w:r w:rsidR="005B2839" w:rsidRPr="00E40693">
              <w:rPr>
                <w:rFonts w:ascii="Calibri" w:eastAsia="Calibri" w:hAnsi="Calibri" w:cs="Calibri"/>
                <w:lang w:val="fr-CA"/>
              </w:rPr>
              <w:t>héros</w:t>
            </w:r>
            <w:r w:rsidR="0022460B" w:rsidRPr="00E40693">
              <w:rPr>
                <w:rFonts w:ascii="Calibri" w:eastAsia="Calibri" w:hAnsi="Calibri" w:cs="Calibri"/>
                <w:lang w:val="fr-CA"/>
              </w:rPr>
              <w:t xml:space="preserve"> pour son peuple et les francophones, mais un hors-la-loi pour le gouvernement canadien.</w:t>
            </w:r>
          </w:p>
        </w:tc>
      </w:tr>
      <w:tr w:rsidR="003A0046" w:rsidRPr="00461CC3" w14:paraId="526199EA" w14:textId="77777777" w:rsidTr="00D65B90">
        <w:tc>
          <w:tcPr>
            <w:tcW w:w="2500" w:type="pct"/>
            <w:tcMar>
              <w:top w:w="288" w:type="dxa"/>
              <w:left w:w="288" w:type="dxa"/>
              <w:bottom w:w="288" w:type="dxa"/>
              <w:right w:w="288" w:type="dxa"/>
            </w:tcMar>
          </w:tcPr>
          <w:p w14:paraId="42531661" w14:textId="77777777" w:rsidR="003A0046" w:rsidRPr="00E40693" w:rsidRDefault="0022460B" w:rsidP="00CB30C9">
            <w:pPr>
              <w:pStyle w:val="Heading1"/>
              <w:rPr>
                <w:lang w:val="fr-CA"/>
              </w:rPr>
            </w:pPr>
            <w:r w:rsidRPr="00E40693">
              <w:rPr>
                <w:lang w:val="fr-CA"/>
              </w:rPr>
              <w:t>Stérilisation forcée des mères autochtones dans les hôpitaux</w:t>
            </w:r>
          </w:p>
          <w:p w14:paraId="5DB36B5E" w14:textId="05E2771E" w:rsidR="002C7365" w:rsidRPr="00E40693" w:rsidRDefault="002C7365" w:rsidP="00D65B90">
            <w:pPr>
              <w:rPr>
                <w:rFonts w:ascii="Calibri" w:eastAsia="Calibri" w:hAnsi="Calibri" w:cs="Calibri"/>
                <w:lang w:val="fr-CA"/>
              </w:rPr>
            </w:pPr>
            <w:r w:rsidRPr="00E40693">
              <w:rPr>
                <w:rFonts w:ascii="Calibri" w:eastAsia="Calibri" w:hAnsi="Calibri" w:cs="Calibri"/>
                <w:lang w:val="fr-CA"/>
              </w:rPr>
              <w:t>La pratique de la stérilisation forcée provient des mouvements eugénistes et a une longue</w:t>
            </w:r>
            <w:r w:rsidR="00CC6DC4" w:rsidRPr="00E40693">
              <w:rPr>
                <w:rFonts w:ascii="Calibri" w:eastAsia="Calibri" w:hAnsi="Calibri" w:cs="Calibri"/>
                <w:lang w:val="fr-CA"/>
              </w:rPr>
              <w:t xml:space="preserve"> histoire parfois cachée au Canada. De lois </w:t>
            </w:r>
            <w:r w:rsidR="00551C8A" w:rsidRPr="00E40693">
              <w:rPr>
                <w:rFonts w:ascii="Calibri" w:eastAsia="Calibri" w:hAnsi="Calibri" w:cs="Calibri"/>
                <w:lang w:val="fr-CA"/>
              </w:rPr>
              <w:t xml:space="preserve">favorisant la stérilisation en Alberta (1928-1972) et en Colombie-Britannique (1933-1973) </w:t>
            </w:r>
            <w:r w:rsidR="00876AEF" w:rsidRPr="00E40693">
              <w:rPr>
                <w:rFonts w:ascii="Calibri" w:eastAsia="Calibri" w:hAnsi="Calibri" w:cs="Calibri"/>
                <w:lang w:val="fr-CA"/>
              </w:rPr>
              <w:t xml:space="preserve">tentèrent de limiter la reproduction des personnes vues comme </w:t>
            </w:r>
            <w:r w:rsidR="009639D8" w:rsidRPr="00E40693">
              <w:rPr>
                <w:rFonts w:ascii="Calibri" w:eastAsia="Calibri" w:hAnsi="Calibri" w:cs="Calibri"/>
                <w:lang w:val="fr-CA"/>
              </w:rPr>
              <w:t xml:space="preserve">« inaptes » et ciblant de plus en plus les femmes autochtones. </w:t>
            </w:r>
            <w:r w:rsidR="00CC3DCB" w:rsidRPr="00E40693">
              <w:rPr>
                <w:rFonts w:ascii="Calibri" w:eastAsia="Calibri" w:hAnsi="Calibri" w:cs="Calibri"/>
                <w:lang w:val="fr-CA"/>
              </w:rPr>
              <w:t xml:space="preserve">Cette stérilisation forcée </w:t>
            </w:r>
            <w:r w:rsidR="00E31962" w:rsidRPr="00E40693">
              <w:rPr>
                <w:rFonts w:ascii="Calibri" w:eastAsia="Calibri" w:hAnsi="Calibri" w:cs="Calibri"/>
                <w:lang w:val="fr-CA"/>
              </w:rPr>
              <w:t xml:space="preserve">a pris </w:t>
            </w:r>
            <w:r w:rsidR="00CC3DCB" w:rsidRPr="00E40693">
              <w:rPr>
                <w:rFonts w:ascii="Calibri" w:eastAsia="Calibri" w:hAnsi="Calibri" w:cs="Calibri"/>
                <w:lang w:val="fr-CA"/>
              </w:rPr>
              <w:t xml:space="preserve">place </w:t>
            </w:r>
            <w:r w:rsidR="00E31962" w:rsidRPr="00E40693">
              <w:rPr>
                <w:rFonts w:ascii="Calibri" w:eastAsia="Calibri" w:hAnsi="Calibri" w:cs="Calibri"/>
                <w:lang w:val="fr-CA"/>
              </w:rPr>
              <w:t xml:space="preserve">avec ou sans encadrement légal, même dans les hôpitaux indiens gérés par le fédéral. </w:t>
            </w:r>
            <w:r w:rsidR="009C543F" w:rsidRPr="00E40693">
              <w:rPr>
                <w:rFonts w:ascii="Calibri" w:eastAsia="Calibri" w:hAnsi="Calibri" w:cs="Calibri"/>
                <w:lang w:val="fr-CA"/>
              </w:rPr>
              <w:t>Cette pratique continue même au 21</w:t>
            </w:r>
            <w:r w:rsidR="009C543F" w:rsidRPr="00E40693">
              <w:rPr>
                <w:rFonts w:ascii="Calibri" w:eastAsia="Calibri" w:hAnsi="Calibri" w:cs="Calibri"/>
                <w:vertAlign w:val="superscript"/>
                <w:lang w:val="fr-CA"/>
              </w:rPr>
              <w:t>e</w:t>
            </w:r>
            <w:r w:rsidR="009C543F" w:rsidRPr="00E40693">
              <w:rPr>
                <w:rFonts w:ascii="Calibri" w:eastAsia="Calibri" w:hAnsi="Calibri" w:cs="Calibri"/>
                <w:lang w:val="fr-CA"/>
              </w:rPr>
              <w:t xml:space="preserve"> siècle. Une centaine de femmes autochtones </w:t>
            </w:r>
            <w:r w:rsidR="001C6F58" w:rsidRPr="00E40693">
              <w:rPr>
                <w:rFonts w:ascii="Calibri" w:eastAsia="Calibri" w:hAnsi="Calibri" w:cs="Calibri"/>
                <w:lang w:val="fr-CA"/>
              </w:rPr>
              <w:t>allèguent qu’elles ont été pressées à consentir de se faire stériliser entre les années 1970 et 2018</w:t>
            </w:r>
            <w:r w:rsidR="00733F12" w:rsidRPr="00E40693">
              <w:rPr>
                <w:rFonts w:ascii="Calibri" w:eastAsia="Calibri" w:hAnsi="Calibri" w:cs="Calibri"/>
                <w:lang w:val="fr-CA"/>
              </w:rPr>
              <w:t>, souvent pendant qu’elles étaient dans un état vulnérable (enceintes ou durant l’accouchement).</w:t>
            </w:r>
          </w:p>
        </w:tc>
        <w:tc>
          <w:tcPr>
            <w:tcW w:w="2500" w:type="pct"/>
            <w:tcMar>
              <w:top w:w="288" w:type="dxa"/>
              <w:left w:w="288" w:type="dxa"/>
              <w:bottom w:w="288" w:type="dxa"/>
              <w:right w:w="288" w:type="dxa"/>
            </w:tcMar>
          </w:tcPr>
          <w:p w14:paraId="320DBD6E" w14:textId="16E18FB0" w:rsidR="003A0046" w:rsidRPr="00F10AA4" w:rsidRDefault="0070053B" w:rsidP="00CB30C9">
            <w:pPr>
              <w:pStyle w:val="Heading1"/>
              <w:rPr>
                <w:lang w:val="en-CA"/>
              </w:rPr>
            </w:pPr>
            <w:r w:rsidRPr="00F10AA4">
              <w:rPr>
                <w:lang w:val="en-CA"/>
              </w:rPr>
              <w:t>A</w:t>
            </w:r>
            <w:r w:rsidR="00347938" w:rsidRPr="00F10AA4">
              <w:rPr>
                <w:lang w:val="en-CA"/>
              </w:rPr>
              <w:t>utoroute des larmes (</w:t>
            </w:r>
            <w:r w:rsidR="00347938" w:rsidRPr="00F10AA4">
              <w:rPr>
                <w:i/>
                <w:iCs/>
                <w:lang w:val="en-CA"/>
              </w:rPr>
              <w:t>Highway of Tears</w:t>
            </w:r>
            <w:r w:rsidR="00347938" w:rsidRPr="00F10AA4">
              <w:rPr>
                <w:lang w:val="en-CA"/>
              </w:rPr>
              <w:t>)</w:t>
            </w:r>
          </w:p>
          <w:p w14:paraId="472ADCB3" w14:textId="6FA13AAD" w:rsidR="00347938" w:rsidRPr="00E40693" w:rsidRDefault="005B2839" w:rsidP="00D65B90">
            <w:pPr>
              <w:rPr>
                <w:rFonts w:ascii="Calibri" w:eastAsia="Calibri" w:hAnsi="Calibri" w:cs="Calibri"/>
                <w:lang w:val="fr-CA"/>
              </w:rPr>
            </w:pPr>
            <w:r w:rsidRPr="00E40693">
              <w:rPr>
                <w:lang w:val="fr-CA"/>
              </w:rPr>
              <w:t xml:space="preserve">La </w:t>
            </w:r>
            <w:r w:rsidRPr="00E40693">
              <w:rPr>
                <w:i/>
                <w:iCs/>
                <w:lang w:val="fr-CA"/>
              </w:rPr>
              <w:t>Highway of Tears</w:t>
            </w:r>
            <w:r w:rsidR="00015AB8" w:rsidRPr="00E40693">
              <w:rPr>
                <w:lang w:val="fr-CA"/>
              </w:rPr>
              <w:t xml:space="preserve"> fait </w:t>
            </w:r>
            <w:r w:rsidR="00501B49" w:rsidRPr="00E40693">
              <w:rPr>
                <w:lang w:val="fr-CA"/>
              </w:rPr>
              <w:t>référence</w:t>
            </w:r>
            <w:r w:rsidR="00015AB8" w:rsidRPr="00E40693">
              <w:rPr>
                <w:lang w:val="fr-CA"/>
              </w:rPr>
              <w:t xml:space="preserve"> </w:t>
            </w:r>
            <w:r w:rsidR="00CB30C9" w:rsidRPr="00E40693">
              <w:rPr>
                <w:lang w:val="fr-CA"/>
              </w:rPr>
              <w:t>à</w:t>
            </w:r>
            <w:r w:rsidR="00015AB8" w:rsidRPr="00E40693">
              <w:rPr>
                <w:lang w:val="fr-CA"/>
              </w:rPr>
              <w:t xml:space="preserve"> une portion </w:t>
            </w:r>
            <w:r w:rsidR="00501B49" w:rsidRPr="00E40693">
              <w:rPr>
                <w:lang w:val="fr-CA"/>
              </w:rPr>
              <w:t xml:space="preserve">de 724 km de l’autoroute 16 de Colombie-Britannique où </w:t>
            </w:r>
            <w:r w:rsidR="0042531A" w:rsidRPr="00E40693">
              <w:rPr>
                <w:lang w:val="fr-CA"/>
              </w:rPr>
              <w:t xml:space="preserve">de nombreuses femmes (surtout des Premiers Peuples) sont disparues ou ont été </w:t>
            </w:r>
            <w:r w:rsidR="00E34F76" w:rsidRPr="00E40693">
              <w:rPr>
                <w:lang w:val="fr-CA"/>
              </w:rPr>
              <w:t xml:space="preserve">retrouvées assassinées. La </w:t>
            </w:r>
            <w:r w:rsidR="00E34F76" w:rsidRPr="00E40693">
              <w:rPr>
                <w:i/>
                <w:iCs/>
                <w:lang w:val="fr-CA"/>
              </w:rPr>
              <w:t>Highway of Tears</w:t>
            </w:r>
            <w:r w:rsidR="00E34F76" w:rsidRPr="00E40693">
              <w:rPr>
                <w:lang w:val="fr-CA"/>
              </w:rPr>
              <w:t xml:space="preserve"> fait partie d’une crise nationale plus grande </w:t>
            </w:r>
            <w:r w:rsidR="00F86BE2" w:rsidRPr="00E40693">
              <w:rPr>
                <w:lang w:val="fr-CA"/>
              </w:rPr>
              <w:t xml:space="preserve">de femmes et filles autochtones disparues et assassinées. En 2015, le gouvernement fédéral initia </w:t>
            </w:r>
            <w:r w:rsidR="006E5E8E" w:rsidRPr="00E40693">
              <w:rPr>
                <w:lang w:val="fr-CA"/>
              </w:rPr>
              <w:t>une enquête nationale sur ces dossiers.</w:t>
            </w:r>
          </w:p>
        </w:tc>
      </w:tr>
      <w:tr w:rsidR="003A0046" w:rsidRPr="00461CC3" w14:paraId="46A90AC6" w14:textId="77777777" w:rsidTr="00D65B90">
        <w:tc>
          <w:tcPr>
            <w:tcW w:w="2500" w:type="pct"/>
            <w:tcMar>
              <w:top w:w="288" w:type="dxa"/>
              <w:left w:w="288" w:type="dxa"/>
              <w:bottom w:w="288" w:type="dxa"/>
              <w:right w:w="288" w:type="dxa"/>
            </w:tcMar>
          </w:tcPr>
          <w:p w14:paraId="21DB87C2" w14:textId="77777777" w:rsidR="003A0046" w:rsidRPr="00E40693" w:rsidRDefault="006E5E8E" w:rsidP="00CB30C9">
            <w:pPr>
              <w:pStyle w:val="Heading1"/>
              <w:rPr>
                <w:lang w:val="fr-CA"/>
              </w:rPr>
            </w:pPr>
            <w:r w:rsidRPr="00E40693">
              <w:rPr>
                <w:lang w:val="fr-CA"/>
              </w:rPr>
              <w:lastRenderedPageBreak/>
              <w:t xml:space="preserve">Rapatriement </w:t>
            </w:r>
            <w:r w:rsidR="00310222" w:rsidRPr="00E40693">
              <w:rPr>
                <w:lang w:val="fr-CA"/>
              </w:rPr>
              <w:t>des objets culturels autochtones des musées</w:t>
            </w:r>
          </w:p>
          <w:p w14:paraId="055A8C83" w14:textId="1754F6BC" w:rsidR="00310222" w:rsidRPr="00E40693" w:rsidRDefault="00310222" w:rsidP="00D65B90">
            <w:pPr>
              <w:rPr>
                <w:rFonts w:ascii="Calibri" w:eastAsia="Calibri" w:hAnsi="Calibri" w:cs="Calibri"/>
                <w:lang w:val="fr-CA"/>
              </w:rPr>
            </w:pPr>
            <w:r w:rsidRPr="00E40693">
              <w:rPr>
                <w:rFonts w:ascii="Calibri" w:eastAsia="Calibri" w:hAnsi="Calibri" w:cs="Calibri"/>
                <w:lang w:val="fr-CA"/>
              </w:rPr>
              <w:t xml:space="preserve">La plupart des collections ethnologiques </w:t>
            </w:r>
            <w:r w:rsidR="0026193C" w:rsidRPr="00E40693">
              <w:rPr>
                <w:rFonts w:ascii="Calibri" w:eastAsia="Calibri" w:hAnsi="Calibri" w:cs="Calibri"/>
                <w:lang w:val="fr-CA"/>
              </w:rPr>
              <w:t xml:space="preserve">trouvées dans les musées canadiens aujourd’hui ont été assemblées </w:t>
            </w:r>
            <w:r w:rsidR="00A35302" w:rsidRPr="00E40693">
              <w:rPr>
                <w:rFonts w:ascii="Calibri" w:eastAsia="Calibri" w:hAnsi="Calibri" w:cs="Calibri"/>
                <w:lang w:val="fr-CA"/>
              </w:rPr>
              <w:t>par des missionnaires, des agents gouvernementaux, des collectionneur(-</w:t>
            </w:r>
            <w:proofErr w:type="gramStart"/>
            <w:r w:rsidR="00A35302" w:rsidRPr="00E40693">
              <w:rPr>
                <w:rFonts w:ascii="Calibri" w:eastAsia="Calibri" w:hAnsi="Calibri" w:cs="Calibri"/>
                <w:lang w:val="fr-CA"/>
              </w:rPr>
              <w:t>se)s</w:t>
            </w:r>
            <w:proofErr w:type="gramEnd"/>
            <w:r w:rsidR="00A35302" w:rsidRPr="00E40693">
              <w:rPr>
                <w:rFonts w:ascii="Calibri" w:eastAsia="Calibri" w:hAnsi="Calibri" w:cs="Calibri"/>
                <w:lang w:val="fr-CA"/>
              </w:rPr>
              <w:t xml:space="preserve"> professionnel(-le)s ou amateur(-rice)s </w:t>
            </w:r>
            <w:r w:rsidR="00345EAF" w:rsidRPr="00E40693">
              <w:rPr>
                <w:rFonts w:ascii="Calibri" w:eastAsia="Calibri" w:hAnsi="Calibri" w:cs="Calibri"/>
                <w:lang w:val="fr-CA"/>
              </w:rPr>
              <w:t>et des anthropologues comme Edward Sapir et Marius Barbeau entre la fin du 19</w:t>
            </w:r>
            <w:r w:rsidR="00345EAF" w:rsidRPr="00E40693">
              <w:rPr>
                <w:rFonts w:ascii="Calibri" w:eastAsia="Calibri" w:hAnsi="Calibri" w:cs="Calibri"/>
                <w:vertAlign w:val="superscript"/>
                <w:lang w:val="fr-CA"/>
              </w:rPr>
              <w:t>e</w:t>
            </w:r>
            <w:r w:rsidR="00345EAF" w:rsidRPr="00E40693">
              <w:rPr>
                <w:rFonts w:ascii="Calibri" w:eastAsia="Calibri" w:hAnsi="Calibri" w:cs="Calibri"/>
                <w:lang w:val="fr-CA"/>
              </w:rPr>
              <w:t xml:space="preserve"> et le début du 20</w:t>
            </w:r>
            <w:r w:rsidR="00345EAF" w:rsidRPr="00E40693">
              <w:rPr>
                <w:rFonts w:ascii="Calibri" w:eastAsia="Calibri" w:hAnsi="Calibri" w:cs="Calibri"/>
                <w:vertAlign w:val="superscript"/>
                <w:lang w:val="fr-CA"/>
              </w:rPr>
              <w:t>e</w:t>
            </w:r>
            <w:r w:rsidR="00345EAF" w:rsidRPr="00E40693">
              <w:rPr>
                <w:rFonts w:ascii="Calibri" w:eastAsia="Calibri" w:hAnsi="Calibri" w:cs="Calibri"/>
                <w:lang w:val="fr-CA"/>
              </w:rPr>
              <w:t xml:space="preserve"> siècle</w:t>
            </w:r>
            <w:r w:rsidR="001B30E8" w:rsidRPr="00E40693">
              <w:rPr>
                <w:rFonts w:ascii="Calibri" w:eastAsia="Calibri" w:hAnsi="Calibri" w:cs="Calibri"/>
                <w:lang w:val="fr-CA"/>
              </w:rPr>
              <w:t xml:space="preserve">, et ce, parfois par la confiscation. De nos jours, plusieurs nations autochtones demandent </w:t>
            </w:r>
            <w:r w:rsidR="007A0241" w:rsidRPr="00E40693">
              <w:rPr>
                <w:rFonts w:ascii="Calibri" w:eastAsia="Calibri" w:hAnsi="Calibri" w:cs="Calibri"/>
                <w:lang w:val="fr-CA"/>
              </w:rPr>
              <w:t>que ces objets leurs soient restitués.</w:t>
            </w:r>
          </w:p>
        </w:tc>
        <w:tc>
          <w:tcPr>
            <w:tcW w:w="2500" w:type="pct"/>
            <w:tcMar>
              <w:top w:w="288" w:type="dxa"/>
              <w:left w:w="288" w:type="dxa"/>
              <w:bottom w:w="288" w:type="dxa"/>
              <w:right w:w="288" w:type="dxa"/>
            </w:tcMar>
          </w:tcPr>
          <w:p w14:paraId="051E898F" w14:textId="77777777" w:rsidR="003A0046" w:rsidRPr="00E40693" w:rsidRDefault="007A0241" w:rsidP="00CB30C9">
            <w:pPr>
              <w:pStyle w:val="Heading1"/>
              <w:rPr>
                <w:lang w:val="fr-CA"/>
              </w:rPr>
            </w:pPr>
            <w:r w:rsidRPr="00E40693">
              <w:rPr>
                <w:lang w:val="fr-CA"/>
              </w:rPr>
              <w:t>Cirques ethnographiques</w:t>
            </w:r>
          </w:p>
          <w:p w14:paraId="7DCD43A5" w14:textId="318A55C0" w:rsidR="00790C15" w:rsidRPr="00E40693" w:rsidRDefault="0021530E" w:rsidP="00D65B90">
            <w:pPr>
              <w:rPr>
                <w:rFonts w:ascii="Calibri" w:eastAsia="Calibri" w:hAnsi="Calibri" w:cs="Calibri"/>
                <w:lang w:val="fr-CA"/>
              </w:rPr>
            </w:pPr>
            <w:r w:rsidRPr="00E40693">
              <w:rPr>
                <w:lang w:val="fr-CA"/>
              </w:rPr>
              <w:t>Le phénomène culturel d’</w:t>
            </w:r>
            <w:r w:rsidR="00405A70" w:rsidRPr="00E40693">
              <w:rPr>
                <w:lang w:val="fr-CA"/>
              </w:rPr>
              <w:t xml:space="preserve">exhiber des </w:t>
            </w:r>
            <w:r w:rsidR="00050576" w:rsidRPr="00E40693">
              <w:rPr>
                <w:lang w:val="fr-CA"/>
              </w:rPr>
              <w:t>personnes non-Européennes à un public Européen</w:t>
            </w:r>
            <w:r w:rsidR="009960E7" w:rsidRPr="00E40693">
              <w:rPr>
                <w:lang w:val="fr-CA"/>
              </w:rPr>
              <w:t xml:space="preserve"> durant les 19</w:t>
            </w:r>
            <w:r w:rsidR="009960E7" w:rsidRPr="00E40693">
              <w:rPr>
                <w:vertAlign w:val="superscript"/>
                <w:lang w:val="fr-CA"/>
              </w:rPr>
              <w:t>e</w:t>
            </w:r>
            <w:r w:rsidR="009960E7" w:rsidRPr="00E40693">
              <w:rPr>
                <w:lang w:val="fr-CA"/>
              </w:rPr>
              <w:t xml:space="preserve"> et 20</w:t>
            </w:r>
            <w:r w:rsidR="009960E7" w:rsidRPr="00E40693">
              <w:rPr>
                <w:vertAlign w:val="superscript"/>
                <w:lang w:val="fr-CA"/>
              </w:rPr>
              <w:t>e</w:t>
            </w:r>
            <w:r w:rsidR="009960E7" w:rsidRPr="00E40693">
              <w:rPr>
                <w:lang w:val="fr-CA"/>
              </w:rPr>
              <w:t xml:space="preserve"> siècles. Souvent, cette pratique </w:t>
            </w:r>
            <w:r w:rsidR="009A0307" w:rsidRPr="00E40693">
              <w:rPr>
                <w:lang w:val="fr-CA"/>
              </w:rPr>
              <w:t xml:space="preserve">impliquait </w:t>
            </w:r>
            <w:r w:rsidR="00F65447" w:rsidRPr="00E40693">
              <w:rPr>
                <w:lang w:val="fr-CA"/>
              </w:rPr>
              <w:t xml:space="preserve">d’enlever des personnes autochtones de leurs </w:t>
            </w:r>
            <w:r w:rsidR="00396671" w:rsidRPr="00E40693">
              <w:rPr>
                <w:lang w:val="fr-CA"/>
              </w:rPr>
              <w:t xml:space="preserve">territoires et communautés pour </w:t>
            </w:r>
            <w:r w:rsidR="00316D5B" w:rsidRPr="00E40693">
              <w:rPr>
                <w:lang w:val="fr-CA"/>
              </w:rPr>
              <w:t>les transporter à travers l’Europe.</w:t>
            </w:r>
          </w:p>
        </w:tc>
      </w:tr>
      <w:tr w:rsidR="003A0046" w:rsidRPr="00461CC3" w14:paraId="6E94ABDE" w14:textId="77777777" w:rsidTr="00D65B90">
        <w:tc>
          <w:tcPr>
            <w:tcW w:w="2500" w:type="pct"/>
            <w:tcMar>
              <w:top w:w="288" w:type="dxa"/>
              <w:left w:w="288" w:type="dxa"/>
              <w:bottom w:w="288" w:type="dxa"/>
              <w:right w:w="288" w:type="dxa"/>
            </w:tcMar>
          </w:tcPr>
          <w:p w14:paraId="64C43305" w14:textId="17B8985A" w:rsidR="004E6B23" w:rsidRPr="00E40693" w:rsidRDefault="004E6B23" w:rsidP="00CB30C9">
            <w:pPr>
              <w:pStyle w:val="Heading1"/>
              <w:rPr>
                <w:lang w:val="fr-CA"/>
              </w:rPr>
            </w:pPr>
            <w:r w:rsidRPr="00E40693">
              <w:rPr>
                <w:lang w:val="fr-CA"/>
              </w:rPr>
              <w:t>Extinction des Béothuks</w:t>
            </w:r>
          </w:p>
          <w:p w14:paraId="2AEA1621" w14:textId="23087D38" w:rsidR="003A0046" w:rsidRPr="00E40693" w:rsidRDefault="004F5A77" w:rsidP="00CB30C9">
            <w:pPr>
              <w:rPr>
                <w:rFonts w:eastAsia="Helvetica"/>
                <w:lang w:val="fr-CA"/>
              </w:rPr>
            </w:pPr>
            <w:r w:rsidRPr="00E40693">
              <w:rPr>
                <w:rFonts w:eastAsia="Helvetica"/>
                <w:lang w:val="fr-CA"/>
              </w:rPr>
              <w:t xml:space="preserve">Les Béothuks (mot signifiant « le peuple » ou « le vrai peuple » dans leur langue) </w:t>
            </w:r>
            <w:r w:rsidR="00C601D8" w:rsidRPr="00E40693">
              <w:rPr>
                <w:rFonts w:eastAsia="Helvetica"/>
                <w:lang w:val="fr-CA"/>
              </w:rPr>
              <w:t>étaient un peuple autochtone de Terre-Neuve. Au moment des premiers contacts avec les Européens</w:t>
            </w:r>
            <w:r w:rsidR="001B7FC4" w:rsidRPr="00E40693">
              <w:rPr>
                <w:rFonts w:eastAsia="Helvetica"/>
                <w:lang w:val="fr-CA"/>
              </w:rPr>
              <w:t xml:space="preserve"> au 16</w:t>
            </w:r>
            <w:r w:rsidR="001B7FC4" w:rsidRPr="00E40693">
              <w:rPr>
                <w:rFonts w:eastAsia="Helvetica"/>
                <w:vertAlign w:val="superscript"/>
                <w:lang w:val="fr-CA"/>
              </w:rPr>
              <w:t>e</w:t>
            </w:r>
            <w:r w:rsidR="001B7FC4" w:rsidRPr="00E40693">
              <w:rPr>
                <w:rFonts w:eastAsia="Helvetica"/>
                <w:lang w:val="fr-CA"/>
              </w:rPr>
              <w:t xml:space="preserve"> siècle, les Béothuks </w:t>
            </w:r>
            <w:r w:rsidR="004F3738" w:rsidRPr="00E40693">
              <w:rPr>
                <w:rFonts w:eastAsia="Helvetica"/>
                <w:lang w:val="fr-CA"/>
              </w:rPr>
              <w:t xml:space="preserve">ne </w:t>
            </w:r>
            <w:r w:rsidR="001B7FC4" w:rsidRPr="00E40693">
              <w:rPr>
                <w:rFonts w:eastAsia="Helvetica"/>
                <w:lang w:val="fr-CA"/>
              </w:rPr>
              <w:t xml:space="preserve">comptaient </w:t>
            </w:r>
            <w:r w:rsidR="004F3738" w:rsidRPr="00E40693">
              <w:rPr>
                <w:rFonts w:eastAsia="Helvetica"/>
                <w:lang w:val="fr-CA"/>
              </w:rPr>
              <w:t>qu’</w:t>
            </w:r>
            <w:r w:rsidR="001B7FC4" w:rsidRPr="00E40693">
              <w:rPr>
                <w:rFonts w:eastAsia="Helvetica"/>
                <w:lang w:val="fr-CA"/>
              </w:rPr>
              <w:t>entre 500 et 1</w:t>
            </w:r>
            <w:r w:rsidR="004F3738" w:rsidRPr="00E40693">
              <w:rPr>
                <w:rFonts w:eastAsia="Helvetica"/>
                <w:lang w:val="fr-CA"/>
              </w:rPr>
              <w:t> </w:t>
            </w:r>
            <w:r w:rsidR="001B7FC4" w:rsidRPr="00E40693">
              <w:rPr>
                <w:rFonts w:eastAsia="Helvetica"/>
                <w:lang w:val="fr-CA"/>
              </w:rPr>
              <w:t>000</w:t>
            </w:r>
            <w:r w:rsidR="004F3738" w:rsidRPr="00E40693">
              <w:rPr>
                <w:rFonts w:eastAsia="Helvetica"/>
                <w:lang w:val="fr-CA"/>
              </w:rPr>
              <w:t xml:space="preserve"> personnes. Leur population est difficile </w:t>
            </w:r>
            <w:proofErr w:type="gramStart"/>
            <w:r w:rsidR="004F3738" w:rsidRPr="00E40693">
              <w:rPr>
                <w:rFonts w:eastAsia="Helvetica"/>
                <w:lang w:val="fr-CA"/>
              </w:rPr>
              <w:t>a</w:t>
            </w:r>
            <w:proofErr w:type="gramEnd"/>
            <w:r w:rsidR="004F3738" w:rsidRPr="00E40693">
              <w:rPr>
                <w:rFonts w:eastAsia="Helvetica"/>
                <w:lang w:val="fr-CA"/>
              </w:rPr>
              <w:t xml:space="preserve"> estimer</w:t>
            </w:r>
            <w:r w:rsidR="00134B03" w:rsidRPr="00E40693">
              <w:rPr>
                <w:rFonts w:eastAsia="Helvetica"/>
                <w:lang w:val="fr-CA"/>
              </w:rPr>
              <w:t xml:space="preserve"> à cause de la réduction de leur territoire dès la période de contact. </w:t>
            </w:r>
          </w:p>
          <w:p w14:paraId="4E3F6CE8" w14:textId="77777777" w:rsidR="00134B03" w:rsidRPr="00E40693" w:rsidRDefault="00134B03" w:rsidP="00CB30C9">
            <w:pPr>
              <w:rPr>
                <w:rFonts w:eastAsia="Helvetica"/>
                <w:lang w:val="fr-CA"/>
              </w:rPr>
            </w:pPr>
            <w:r w:rsidRPr="00E40693">
              <w:rPr>
                <w:rFonts w:eastAsia="Helvetica"/>
                <w:lang w:val="fr-CA"/>
              </w:rPr>
              <w:t xml:space="preserve">Dû </w:t>
            </w:r>
            <w:r w:rsidR="00A3123C" w:rsidRPr="00E40693">
              <w:rPr>
                <w:rFonts w:eastAsia="Helvetica"/>
                <w:lang w:val="fr-CA"/>
              </w:rPr>
              <w:t>à l’empiètement</w:t>
            </w:r>
            <w:r w:rsidR="002F431E" w:rsidRPr="00E40693">
              <w:rPr>
                <w:rFonts w:eastAsia="Helvetica"/>
                <w:lang w:val="fr-CA"/>
              </w:rPr>
              <w:t xml:space="preserve"> et aux massacres par les Européens ainsi qu’aux maladies européennes, contre lesquelles les Béothuks n’avaient aucune résis</w:t>
            </w:r>
            <w:r w:rsidR="006B1FE3" w:rsidRPr="00E40693">
              <w:rPr>
                <w:rFonts w:eastAsia="Helvetica"/>
                <w:lang w:val="fr-CA"/>
              </w:rPr>
              <w:t xml:space="preserve">tance naturelle, la population chuta rapidement. </w:t>
            </w:r>
            <w:r w:rsidR="00257CB5" w:rsidRPr="00E40693">
              <w:rPr>
                <w:rFonts w:eastAsia="Helvetica"/>
                <w:lang w:val="fr-CA"/>
              </w:rPr>
              <w:t>Les livres d’histoire canadiens affirment souvent que les Béothuks sont ensuite disparus et que Shawnadithit</w:t>
            </w:r>
            <w:r w:rsidR="00D7095D" w:rsidRPr="00E40693">
              <w:rPr>
                <w:rFonts w:eastAsia="Helvetica"/>
                <w:lang w:val="fr-CA"/>
              </w:rPr>
              <w:t>, qui mourut en 1829, était leur dernière représentante.</w:t>
            </w:r>
          </w:p>
          <w:p w14:paraId="5E0F3541" w14:textId="6DD51D21" w:rsidR="00C828BD" w:rsidRPr="00E40693" w:rsidRDefault="002C64F5" w:rsidP="00CB30C9">
            <w:pPr>
              <w:rPr>
                <w:rFonts w:eastAsia="Helvetica"/>
                <w:lang w:val="fr-CA"/>
              </w:rPr>
            </w:pPr>
            <w:r w:rsidRPr="00E40693">
              <w:rPr>
                <w:rFonts w:eastAsia="Helvetica"/>
                <w:lang w:val="fr-CA"/>
              </w:rPr>
              <w:t xml:space="preserve">Des approches modernes et nuancées de l’histoire ainsi que des traditions orales autochtones remettent en question cette interprétation. </w:t>
            </w:r>
            <w:proofErr w:type="gramStart"/>
            <w:r w:rsidRPr="00E40693">
              <w:rPr>
                <w:rFonts w:eastAsia="Helvetica"/>
                <w:lang w:val="fr-CA"/>
              </w:rPr>
              <w:t>Entre autre</w:t>
            </w:r>
            <w:proofErr w:type="gramEnd"/>
            <w:r w:rsidRPr="00E40693">
              <w:rPr>
                <w:rFonts w:eastAsia="Helvetica"/>
                <w:lang w:val="fr-CA"/>
              </w:rPr>
              <w:t>, les Mi’gmaq ont toujours affirmé que les Béothuks n’étaient pas ét</w:t>
            </w:r>
            <w:r w:rsidR="0070053B" w:rsidRPr="00E40693">
              <w:rPr>
                <w:rFonts w:eastAsia="Helvetica"/>
                <w:lang w:val="fr-CA"/>
              </w:rPr>
              <w:t>eints.</w:t>
            </w:r>
          </w:p>
        </w:tc>
        <w:tc>
          <w:tcPr>
            <w:tcW w:w="2500" w:type="pct"/>
            <w:tcMar>
              <w:top w:w="288" w:type="dxa"/>
              <w:left w:w="288" w:type="dxa"/>
              <w:bottom w:w="288" w:type="dxa"/>
              <w:right w:w="288" w:type="dxa"/>
            </w:tcMar>
          </w:tcPr>
          <w:p w14:paraId="0A3A4B0F" w14:textId="77777777" w:rsidR="003A0046" w:rsidRPr="00CB30C9" w:rsidRDefault="0070053B" w:rsidP="00CB30C9">
            <w:pPr>
              <w:pStyle w:val="Heading1"/>
              <w:rPr>
                <w:lang w:val="fr-CA"/>
              </w:rPr>
            </w:pPr>
            <w:r w:rsidRPr="00CB30C9">
              <w:rPr>
                <w:lang w:val="fr-CA"/>
              </w:rPr>
              <w:t>Ouverture de l’Université des Premières Nations (</w:t>
            </w:r>
            <w:r w:rsidR="00CF7A2F" w:rsidRPr="00CB30C9">
              <w:rPr>
                <w:lang w:val="fr-CA"/>
              </w:rPr>
              <w:t>First Nations University)</w:t>
            </w:r>
          </w:p>
          <w:p w14:paraId="7C15A0C2" w14:textId="1FB9615B" w:rsidR="00CF7A2F" w:rsidRPr="00CB30C9" w:rsidRDefault="00CF7A2F" w:rsidP="00D65B90">
            <w:pPr>
              <w:rPr>
                <w:lang w:val="fr-CA"/>
              </w:rPr>
            </w:pPr>
            <w:r w:rsidRPr="00CB30C9">
              <w:rPr>
                <w:lang w:val="fr-CA"/>
              </w:rPr>
              <w:t>L’Université des Premières Nations (FNUniv)</w:t>
            </w:r>
            <w:r w:rsidR="00971124" w:rsidRPr="00CB30C9">
              <w:rPr>
                <w:lang w:val="fr-CA"/>
              </w:rPr>
              <w:t xml:space="preserve"> est </w:t>
            </w:r>
            <w:r w:rsidR="006437D7" w:rsidRPr="00CB30C9">
              <w:rPr>
                <w:lang w:val="fr-CA"/>
              </w:rPr>
              <w:t xml:space="preserve">une institution postsecondaire </w:t>
            </w:r>
            <w:r w:rsidR="002C51B0" w:rsidRPr="00CB30C9">
              <w:rPr>
                <w:lang w:val="fr-CA"/>
              </w:rPr>
              <w:t>et un collège affilié à l’Université de Regina</w:t>
            </w:r>
            <w:r w:rsidR="00C63763" w:rsidRPr="00CB30C9">
              <w:rPr>
                <w:lang w:val="fr-CA"/>
              </w:rPr>
              <w:t xml:space="preserve"> dans la province de la Saskatchewan. FNUniv opère trois campus dans la province, </w:t>
            </w:r>
            <w:r w:rsidR="00413638" w:rsidRPr="00CB30C9">
              <w:rPr>
                <w:lang w:val="fr-CA"/>
              </w:rPr>
              <w:t xml:space="preserve">soit un à Prince Albert, un à Regina et un à Saskatoon. L’Université offre des programmes </w:t>
            </w:r>
            <w:r w:rsidR="00E856B9" w:rsidRPr="00CB30C9">
              <w:rPr>
                <w:lang w:val="fr-CA"/>
              </w:rPr>
              <w:t>en affaires, en sciences humaines et sociales</w:t>
            </w:r>
            <w:r w:rsidR="00C741E8" w:rsidRPr="00CB30C9">
              <w:rPr>
                <w:lang w:val="fr-CA"/>
              </w:rPr>
              <w:t>, ainsi qu’</w:t>
            </w:r>
            <w:r w:rsidR="00E856B9" w:rsidRPr="00CB30C9">
              <w:rPr>
                <w:lang w:val="fr-CA"/>
              </w:rPr>
              <w:t>en sciences naturelles</w:t>
            </w:r>
            <w:r w:rsidR="00C741E8" w:rsidRPr="00CB30C9">
              <w:rPr>
                <w:lang w:val="fr-CA"/>
              </w:rPr>
              <w:t xml:space="preserve">. </w:t>
            </w:r>
            <w:r w:rsidR="00EF51F7" w:rsidRPr="00CB30C9">
              <w:rPr>
                <w:lang w:val="fr-CA"/>
              </w:rPr>
              <w:t xml:space="preserve">Certains de ces programmes se concentrent sur les pratiques autochtones. </w:t>
            </w:r>
          </w:p>
          <w:p w14:paraId="087AEAF7" w14:textId="674CFC4B" w:rsidR="00153A30" w:rsidRPr="00E40693" w:rsidRDefault="00153A30" w:rsidP="00D65B90">
            <w:pPr>
              <w:rPr>
                <w:lang w:val="fr-CA"/>
              </w:rPr>
            </w:pPr>
            <w:r w:rsidRPr="00CB30C9">
              <w:rPr>
                <w:lang w:val="fr-CA"/>
              </w:rPr>
              <w:t>L’institution tire ses origines du Collège indien fédéré de la Saskatchewan (Saskatchewan Indian Federated College)</w:t>
            </w:r>
            <w:r w:rsidR="00BB5B3B" w:rsidRPr="00CB30C9">
              <w:rPr>
                <w:lang w:val="fr-CA"/>
              </w:rPr>
              <w:t>, un collège affilié établi en mai 1976 par un accord entre la Fédération des nations indiennes de Saskatchewan (Federation of Saskatchewan Indian Nations)</w:t>
            </w:r>
            <w:r w:rsidR="008F4FC4" w:rsidRPr="00CB30C9">
              <w:rPr>
                <w:lang w:val="fr-CA"/>
              </w:rPr>
              <w:t xml:space="preserve"> et l’Université de Regina. En juin 2003, elle est renommée FNUniv</w:t>
            </w:r>
            <w:r w:rsidR="00FF1CFA" w:rsidRPr="00CB30C9">
              <w:rPr>
                <w:lang w:val="fr-CA"/>
              </w:rPr>
              <w:t xml:space="preserve"> et son nouveau campus </w:t>
            </w:r>
            <w:proofErr w:type="gramStart"/>
            <w:r w:rsidR="00FF1CFA" w:rsidRPr="00CB30C9">
              <w:rPr>
                <w:lang w:val="fr-CA"/>
              </w:rPr>
              <w:t>a</w:t>
            </w:r>
            <w:proofErr w:type="gramEnd"/>
            <w:r w:rsidR="00FF1CFA" w:rsidRPr="00CB30C9">
              <w:rPr>
                <w:lang w:val="fr-CA"/>
              </w:rPr>
              <w:t xml:space="preserve"> Regina est ouvert.</w:t>
            </w:r>
          </w:p>
        </w:tc>
      </w:tr>
    </w:tbl>
    <w:p w14:paraId="7FEF800A" w14:textId="77777777" w:rsidR="00CB30C9" w:rsidRPr="00461CC3" w:rsidRDefault="00CB30C9">
      <w:pPr>
        <w:rPr>
          <w:lang w:val="fr-CA"/>
        </w:rPr>
      </w:pPr>
      <w:r w:rsidRPr="00461CC3">
        <w:rPr>
          <w:caps/>
          <w:lang w:val="fr-CA"/>
        </w:rPr>
        <w:br w:type="page"/>
      </w:r>
    </w:p>
    <w:tbl>
      <w:tblPr>
        <w:tblStyle w:val="TableGrid"/>
        <w:tblW w:w="5000" w:type="pct"/>
        <w:tblLook w:val="04A0" w:firstRow="1" w:lastRow="0" w:firstColumn="1" w:lastColumn="0" w:noHBand="0" w:noVBand="1"/>
      </w:tblPr>
      <w:tblGrid>
        <w:gridCol w:w="4981"/>
        <w:gridCol w:w="4981"/>
      </w:tblGrid>
      <w:tr w:rsidR="003A0046" w:rsidRPr="00461CC3" w14:paraId="07657D8C" w14:textId="77777777" w:rsidTr="00D65B90">
        <w:tc>
          <w:tcPr>
            <w:tcW w:w="2500" w:type="pct"/>
            <w:tcMar>
              <w:top w:w="288" w:type="dxa"/>
              <w:left w:w="288" w:type="dxa"/>
              <w:bottom w:w="288" w:type="dxa"/>
              <w:right w:w="288" w:type="dxa"/>
            </w:tcMar>
          </w:tcPr>
          <w:p w14:paraId="594D06E0" w14:textId="0E522203" w:rsidR="003A0046" w:rsidRPr="00E40693" w:rsidRDefault="00FF1CFA" w:rsidP="00CB30C9">
            <w:pPr>
              <w:pStyle w:val="Heading1"/>
              <w:rPr>
                <w:lang w:val="fr-CA"/>
              </w:rPr>
            </w:pPr>
            <w:r w:rsidRPr="00E40693">
              <w:rPr>
                <w:lang w:val="fr-CA"/>
              </w:rPr>
              <w:lastRenderedPageBreak/>
              <w:t>Principe de Jordan</w:t>
            </w:r>
          </w:p>
          <w:p w14:paraId="47EFBAB8" w14:textId="25D89D6D" w:rsidR="00FF1CFA" w:rsidRPr="00E40693" w:rsidRDefault="00E86745" w:rsidP="00CB30C9">
            <w:pPr>
              <w:rPr>
                <w:lang w:val="fr-CA"/>
              </w:rPr>
            </w:pPr>
            <w:r w:rsidRPr="00E40693">
              <w:rPr>
                <w:lang w:val="fr-CA"/>
              </w:rPr>
              <w:t xml:space="preserve">Le principe de Jordan fait en sorte que tous les enfants des Premières Nations vivant au </w:t>
            </w:r>
            <w:r w:rsidR="00670617" w:rsidRPr="00E40693">
              <w:rPr>
                <w:lang w:val="fr-CA"/>
              </w:rPr>
              <w:t>C</w:t>
            </w:r>
            <w:r w:rsidRPr="00E40693">
              <w:rPr>
                <w:lang w:val="fr-CA"/>
              </w:rPr>
              <w:t xml:space="preserve">anada peuvent accéder </w:t>
            </w:r>
            <w:r w:rsidR="0005082F" w:rsidRPr="00E40693">
              <w:rPr>
                <w:lang w:val="fr-CA"/>
              </w:rPr>
              <w:t xml:space="preserve">aux produits, au soutien et aux services lorsqu’iels en ont besoin. </w:t>
            </w:r>
            <w:r w:rsidR="00D83062" w:rsidRPr="00E40693">
              <w:rPr>
                <w:lang w:val="fr-CA"/>
              </w:rPr>
              <w:t xml:space="preserve">Les enfants des Premières Nations ne devraient pas </w:t>
            </w:r>
            <w:r w:rsidR="000B3EF5" w:rsidRPr="00E40693">
              <w:rPr>
                <w:lang w:val="fr-CA"/>
              </w:rPr>
              <w:t xml:space="preserve">manquer d’accès aux soins parce que les </w:t>
            </w:r>
            <w:r w:rsidR="002F5C5A" w:rsidRPr="00E40693">
              <w:rPr>
                <w:lang w:val="fr-CA"/>
              </w:rPr>
              <w:t xml:space="preserve">différents paliers gouvernementaux se battent entre eux pour ne pas payer. </w:t>
            </w:r>
            <w:r w:rsidR="008C3512" w:rsidRPr="00E40693">
              <w:rPr>
                <w:lang w:val="fr-CA"/>
              </w:rPr>
              <w:t xml:space="preserve">De plus, ces services devraient employer des pratiques culturellement sensibles et </w:t>
            </w:r>
            <w:r w:rsidR="008D10ED" w:rsidRPr="00E40693">
              <w:rPr>
                <w:lang w:val="fr-CA"/>
              </w:rPr>
              <w:t xml:space="preserve">reconnaitre l’histoire du colonialisme. </w:t>
            </w:r>
          </w:p>
          <w:p w14:paraId="58924EF2" w14:textId="483EA6E1" w:rsidR="008D10ED" w:rsidRPr="00E40693" w:rsidRDefault="008D10ED" w:rsidP="00CB30C9">
            <w:pPr>
              <w:rPr>
                <w:lang w:val="fr-CA"/>
              </w:rPr>
            </w:pPr>
            <w:r w:rsidRPr="00E40693">
              <w:rPr>
                <w:lang w:val="fr-CA"/>
              </w:rPr>
              <w:t xml:space="preserve">Le principe de Jordan est nommé en l’honneur de Jordan River Anderson, un jeune garçon de la Première Nation </w:t>
            </w:r>
            <w:r w:rsidR="004F3DCE" w:rsidRPr="00E40693">
              <w:rPr>
                <w:lang w:val="fr-CA"/>
              </w:rPr>
              <w:t>crie Norway House au Manitoba.</w:t>
            </w:r>
          </w:p>
        </w:tc>
        <w:tc>
          <w:tcPr>
            <w:tcW w:w="2500" w:type="pct"/>
            <w:tcMar>
              <w:top w:w="288" w:type="dxa"/>
              <w:left w:w="288" w:type="dxa"/>
              <w:bottom w:w="288" w:type="dxa"/>
              <w:right w:w="288" w:type="dxa"/>
            </w:tcMar>
          </w:tcPr>
          <w:p w14:paraId="715B099A" w14:textId="26902857" w:rsidR="004F3DCE" w:rsidRPr="00E40693" w:rsidRDefault="004F3DCE" w:rsidP="00CB30C9">
            <w:pPr>
              <w:pStyle w:val="Heading1"/>
              <w:rPr>
                <w:lang w:val="fr-CA"/>
              </w:rPr>
            </w:pPr>
            <w:r w:rsidRPr="00E40693">
              <w:rPr>
                <w:lang w:val="fr-CA"/>
              </w:rPr>
              <w:t xml:space="preserve">Commission </w:t>
            </w:r>
            <w:r w:rsidR="005913EA" w:rsidRPr="00E40693">
              <w:rPr>
                <w:lang w:val="fr-CA"/>
              </w:rPr>
              <w:t>de</w:t>
            </w:r>
            <w:r w:rsidRPr="00E40693">
              <w:rPr>
                <w:lang w:val="fr-CA"/>
              </w:rPr>
              <w:t xml:space="preserve"> vérité et </w:t>
            </w:r>
            <w:r w:rsidR="005913EA" w:rsidRPr="00E40693">
              <w:rPr>
                <w:lang w:val="fr-CA"/>
              </w:rPr>
              <w:t>de</w:t>
            </w:r>
            <w:r w:rsidRPr="00E40693">
              <w:rPr>
                <w:lang w:val="fr-CA"/>
              </w:rPr>
              <w:t xml:space="preserve"> réconciliation</w:t>
            </w:r>
          </w:p>
          <w:p w14:paraId="46EE8059" w14:textId="021C2F60" w:rsidR="004F3DCE" w:rsidRPr="00E40693" w:rsidRDefault="004F3DCE" w:rsidP="00D65B90">
            <w:pPr>
              <w:rPr>
                <w:lang w:val="fr-CA"/>
              </w:rPr>
            </w:pPr>
            <w:r w:rsidRPr="00E40693">
              <w:rPr>
                <w:lang w:val="fr-CA"/>
              </w:rPr>
              <w:t>La Commission</w:t>
            </w:r>
            <w:r w:rsidR="005913EA" w:rsidRPr="00E40693">
              <w:rPr>
                <w:lang w:val="fr-CA"/>
              </w:rPr>
              <w:t xml:space="preserve"> de vérité et de réconciliation du Canada (CVR) a été créée </w:t>
            </w:r>
            <w:r w:rsidR="006A6D8C" w:rsidRPr="00E40693">
              <w:rPr>
                <w:lang w:val="fr-CA"/>
              </w:rPr>
              <w:t xml:space="preserve">grâce à règlement juridique </w:t>
            </w:r>
            <w:r w:rsidR="00167142" w:rsidRPr="00E40693">
              <w:rPr>
                <w:lang w:val="fr-CA"/>
              </w:rPr>
              <w:t xml:space="preserve">entre des personnes survivantes des pensionnats, l’Assemblée des Premières Nations, </w:t>
            </w:r>
            <w:r w:rsidR="008E64AF" w:rsidRPr="00E40693">
              <w:rPr>
                <w:lang w:val="fr-CA"/>
              </w:rPr>
              <w:t xml:space="preserve">des représentant(e)s inuit et les parties responsables de la création et l’opération des écoles résidentielles, soit le gouvernement fédéral et les églises. </w:t>
            </w:r>
          </w:p>
          <w:p w14:paraId="5156E4B8" w14:textId="77777777" w:rsidR="008E64AF" w:rsidRPr="00E40693" w:rsidRDefault="00974B8C" w:rsidP="00D65B90">
            <w:pPr>
              <w:rPr>
                <w:lang w:val="fr-CA"/>
              </w:rPr>
            </w:pPr>
            <w:r w:rsidRPr="00E40693">
              <w:rPr>
                <w:lang w:val="fr-CA"/>
              </w:rPr>
              <w:t>Le mandat de la CVR était d’informer l’ensemble des Canadien(-</w:t>
            </w:r>
            <w:proofErr w:type="gramStart"/>
            <w:r w:rsidRPr="00E40693">
              <w:rPr>
                <w:lang w:val="fr-CA"/>
              </w:rPr>
              <w:t>ne)s</w:t>
            </w:r>
            <w:proofErr w:type="gramEnd"/>
            <w:r w:rsidRPr="00E40693">
              <w:rPr>
                <w:lang w:val="fr-CA"/>
              </w:rPr>
              <w:t xml:space="preserve"> de ce qui s’est produit dans les pensionnats. La CVR </w:t>
            </w:r>
            <w:r w:rsidR="00EE5829" w:rsidRPr="00E40693">
              <w:rPr>
                <w:lang w:val="fr-CA"/>
              </w:rPr>
              <w:t xml:space="preserve">a documenté la vérité des survivant(e)s, de leurs familles, de leurs communautés et de toute personne affectée par l’expérience des écoles résidentielles. </w:t>
            </w:r>
            <w:r w:rsidR="00677859" w:rsidRPr="00E40693">
              <w:rPr>
                <w:lang w:val="fr-CA"/>
              </w:rPr>
              <w:t>Ceci inclut les ancien(-</w:t>
            </w:r>
            <w:proofErr w:type="gramStart"/>
            <w:r w:rsidR="00677859" w:rsidRPr="00E40693">
              <w:rPr>
                <w:lang w:val="fr-CA"/>
              </w:rPr>
              <w:t>ne)s</w:t>
            </w:r>
            <w:proofErr w:type="gramEnd"/>
            <w:r w:rsidR="00677859" w:rsidRPr="00E40693">
              <w:rPr>
                <w:lang w:val="fr-CA"/>
              </w:rPr>
              <w:t xml:space="preserve"> élèves </w:t>
            </w:r>
            <w:r w:rsidR="00B379DE" w:rsidRPr="00E40693">
              <w:rPr>
                <w:lang w:val="fr-CA"/>
              </w:rPr>
              <w:t xml:space="preserve">issues des Premières Nations, des Métis et des Inuit, leurs familles, leurs communautés, les églises, les ancien(-ne)s employé(e)s, les agent(e)s du gouvernement et </w:t>
            </w:r>
            <w:r w:rsidR="008475B8" w:rsidRPr="00E40693">
              <w:rPr>
                <w:lang w:val="fr-CA"/>
              </w:rPr>
              <w:t>autres.</w:t>
            </w:r>
          </w:p>
          <w:p w14:paraId="7FEB77F2" w14:textId="01E7C5D5" w:rsidR="008475B8" w:rsidRPr="00E40693" w:rsidRDefault="008475B8" w:rsidP="00D65B90">
            <w:pPr>
              <w:rPr>
                <w:lang w:val="fr-CA"/>
              </w:rPr>
            </w:pPr>
            <w:r w:rsidRPr="00E40693">
              <w:rPr>
                <w:lang w:val="fr-CA"/>
              </w:rPr>
              <w:t xml:space="preserve">La CVR a conclu son mandat en 2015 et a transféré l’ensemble de ses archives </w:t>
            </w:r>
            <w:r w:rsidR="00C340AB" w:rsidRPr="00E40693">
              <w:rPr>
                <w:lang w:val="fr-CA"/>
              </w:rPr>
              <w:t>au Centre national pour la vérité et la réconciliation (CNVR).</w:t>
            </w:r>
          </w:p>
        </w:tc>
      </w:tr>
      <w:tr w:rsidR="00CB30C9" w:rsidRPr="00461CC3" w14:paraId="66D4E423" w14:textId="77777777" w:rsidTr="00D65B90">
        <w:tc>
          <w:tcPr>
            <w:tcW w:w="2500" w:type="pct"/>
            <w:tcMar>
              <w:top w:w="288" w:type="dxa"/>
              <w:left w:w="288" w:type="dxa"/>
              <w:bottom w:w="288" w:type="dxa"/>
              <w:right w:w="288" w:type="dxa"/>
            </w:tcMar>
          </w:tcPr>
          <w:p w14:paraId="4CF734E1" w14:textId="77777777" w:rsidR="00CB30C9" w:rsidRPr="00CB30C9" w:rsidRDefault="00CB30C9" w:rsidP="00CB30C9">
            <w:pPr>
              <w:pStyle w:val="Heading1"/>
              <w:rPr>
                <w:lang w:val="fr-CA"/>
              </w:rPr>
            </w:pPr>
            <w:r w:rsidRPr="00CB30C9">
              <w:rPr>
                <w:lang w:val="fr-CA"/>
              </w:rPr>
              <w:t>Livre blanc de 1969</w:t>
            </w:r>
          </w:p>
          <w:p w14:paraId="3CE797FA" w14:textId="7527740E" w:rsidR="00CB30C9" w:rsidRPr="00E40693" w:rsidRDefault="00CB30C9" w:rsidP="00CB30C9">
            <w:pPr>
              <w:rPr>
                <w:lang w:val="fr-CA"/>
              </w:rPr>
            </w:pPr>
            <w:r w:rsidRPr="00CB30C9">
              <w:rPr>
                <w:lang w:val="fr-CA"/>
              </w:rPr>
              <w:t>En 1969, le premier ministre Pierre Elliot Trudeau et son ministre des Affaires indiennes, Jean Chrétien, ont dévoilé leurs propositions de politiques pour abolir la Loi sur les Indiens et en terminer avec la relation spéciale juridique entre l’État canadien et les peuples autochtones. Le Livre blanc a rencontré une opposition forte des leadeur(e)s autochtones à travers le pays et à susciter une nouvelle ère dans l’organisation politique autochtone au Canada.</w:t>
            </w:r>
          </w:p>
        </w:tc>
        <w:tc>
          <w:tcPr>
            <w:tcW w:w="2500" w:type="pct"/>
            <w:tcMar>
              <w:top w:w="288" w:type="dxa"/>
              <w:left w:w="288" w:type="dxa"/>
              <w:bottom w:w="288" w:type="dxa"/>
              <w:right w:w="288" w:type="dxa"/>
            </w:tcMar>
          </w:tcPr>
          <w:p w14:paraId="5FA8AABB" w14:textId="77777777" w:rsidR="00CB30C9" w:rsidRPr="00CB30C9" w:rsidRDefault="00CB30C9" w:rsidP="00CB30C9">
            <w:pPr>
              <w:pStyle w:val="Heading1"/>
              <w:rPr>
                <w:lang w:val="fr-CA"/>
              </w:rPr>
            </w:pPr>
            <w:r w:rsidRPr="00CB30C9">
              <w:rPr>
                <w:lang w:val="fr-CA"/>
              </w:rPr>
              <w:t>Déversement de mercure à Grassy Narrows</w:t>
            </w:r>
          </w:p>
          <w:p w14:paraId="1BBE1914" w14:textId="4C4E2703" w:rsidR="00CB30C9" w:rsidRPr="00E40693" w:rsidRDefault="00CB30C9" w:rsidP="00CB30C9">
            <w:pPr>
              <w:rPr>
                <w:lang w:val="fr-CA"/>
              </w:rPr>
            </w:pPr>
            <w:r w:rsidRPr="00CB30C9">
              <w:rPr>
                <w:lang w:val="fr-CA"/>
              </w:rPr>
              <w:t>Dans les années 1960 et 1970, les eaux de Grassy Narrows (Asubpeeschoseewagong) furent contaminées avec du mercure par les industries. C’est l’un des pires désastres environnementaux au Canada. La pollution a affectée trois générations de cette communauté d’environ 1 000 résident(e)s.</w:t>
            </w:r>
          </w:p>
        </w:tc>
      </w:tr>
      <w:tr w:rsidR="00CB30C9" w:rsidRPr="00461CC3" w14:paraId="5BDDA78C" w14:textId="77777777" w:rsidTr="00D65B90">
        <w:tc>
          <w:tcPr>
            <w:tcW w:w="2500" w:type="pct"/>
            <w:tcMar>
              <w:top w:w="288" w:type="dxa"/>
              <w:left w:w="288" w:type="dxa"/>
              <w:bottom w:w="288" w:type="dxa"/>
              <w:right w:w="288" w:type="dxa"/>
            </w:tcMar>
          </w:tcPr>
          <w:p w14:paraId="045221AA" w14:textId="77777777" w:rsidR="00CB30C9" w:rsidRPr="00CB30C9" w:rsidRDefault="00CB30C9" w:rsidP="00CB30C9">
            <w:pPr>
              <w:pStyle w:val="Heading1"/>
              <w:rPr>
                <w:lang w:val="fr-CA"/>
              </w:rPr>
            </w:pPr>
            <w:r w:rsidRPr="00CB30C9">
              <w:rPr>
                <w:lang w:val="fr-CA"/>
              </w:rPr>
              <w:t>Décision Tsilhqot’in</w:t>
            </w:r>
          </w:p>
          <w:p w14:paraId="61062899" w14:textId="7AECD540" w:rsidR="00CB30C9" w:rsidRPr="00CB30C9" w:rsidRDefault="00CB30C9" w:rsidP="00CB30C9">
            <w:pPr>
              <w:rPr>
                <w:lang w:val="fr-CA"/>
              </w:rPr>
            </w:pPr>
            <w:r w:rsidRPr="00CB30C9">
              <w:rPr>
                <w:lang w:val="fr-CA"/>
              </w:rPr>
              <w:t>La décision Tsilhqot’in de la Cour suprême du Canada en 2014 était significative, car elle était la première reconnaissance juridique du titre autochtone au Canada. La nation tŝilhqot'in, guidée par les Ainé(e)s, s’est battue pendant deux décennies, dépensant de grandes sommes d’argent, pour obtenir la victoire.</w:t>
            </w:r>
          </w:p>
        </w:tc>
        <w:tc>
          <w:tcPr>
            <w:tcW w:w="2500" w:type="pct"/>
            <w:tcMar>
              <w:top w:w="288" w:type="dxa"/>
              <w:left w:w="288" w:type="dxa"/>
              <w:bottom w:w="288" w:type="dxa"/>
              <w:right w:w="288" w:type="dxa"/>
            </w:tcMar>
          </w:tcPr>
          <w:p w14:paraId="12E1ADAB" w14:textId="382E149B" w:rsidR="00CB30C9" w:rsidRPr="00CB30C9" w:rsidRDefault="00CB30C9" w:rsidP="00CB30C9">
            <w:pPr>
              <w:pStyle w:val="Heading1"/>
              <w:rPr>
                <w:lang w:val="fr-CA"/>
              </w:rPr>
            </w:pPr>
            <w:r w:rsidRPr="00CB30C9">
              <w:rPr>
                <w:lang w:val="fr-CA"/>
              </w:rPr>
              <w:t>Découverte des corps sur les terrains des pensionnats</w:t>
            </w:r>
          </w:p>
          <w:p w14:paraId="4450691F" w14:textId="54D39406" w:rsidR="00CB30C9" w:rsidRPr="00CB30C9" w:rsidRDefault="00CB30C9" w:rsidP="00CB30C9">
            <w:pPr>
              <w:rPr>
                <w:lang w:val="fr-CA"/>
              </w:rPr>
            </w:pPr>
            <w:r w:rsidRPr="00CB30C9">
              <w:rPr>
                <w:lang w:val="fr-CA"/>
              </w:rPr>
              <w:t>Depuis mai 2021, plus de 1 308 sites de possibles tombes ont été trouvés sur les terres des anciennes écoles résidentielles au Canada. Le Centre national pour la vérité et la réconciliation a documenté 4 118 enfants décédé(e)s dans les pensionnats.</w:t>
            </w:r>
          </w:p>
        </w:tc>
      </w:tr>
      <w:tr w:rsidR="003A0046" w:rsidRPr="00461CC3" w14:paraId="0B7C66B6" w14:textId="77777777" w:rsidTr="00CB30C9">
        <w:trPr>
          <w:trHeight w:val="7883"/>
        </w:trPr>
        <w:tc>
          <w:tcPr>
            <w:tcW w:w="2500" w:type="pct"/>
            <w:tcMar>
              <w:top w:w="288" w:type="dxa"/>
              <w:left w:w="288" w:type="dxa"/>
              <w:bottom w:w="288" w:type="dxa"/>
              <w:right w:w="288" w:type="dxa"/>
            </w:tcMar>
          </w:tcPr>
          <w:p w14:paraId="324AEB0A" w14:textId="77777777" w:rsidR="003A0046" w:rsidRPr="00E40693" w:rsidRDefault="00C340AB" w:rsidP="00CB30C9">
            <w:pPr>
              <w:pStyle w:val="Heading1"/>
              <w:rPr>
                <w:lang w:val="fr-CA"/>
              </w:rPr>
            </w:pPr>
            <w:r w:rsidRPr="00E40693">
              <w:rPr>
                <w:lang w:val="fr-CA"/>
              </w:rPr>
              <w:lastRenderedPageBreak/>
              <w:t xml:space="preserve">La « </w:t>
            </w:r>
            <w:r w:rsidR="00255482" w:rsidRPr="00E40693">
              <w:rPr>
                <w:lang w:val="fr-CA"/>
              </w:rPr>
              <w:t>crise » d’Oka</w:t>
            </w:r>
          </w:p>
          <w:p w14:paraId="5B8E166F" w14:textId="22100442" w:rsidR="00255482" w:rsidRPr="00E40693" w:rsidRDefault="00255482" w:rsidP="00D65B90">
            <w:pPr>
              <w:rPr>
                <w:rFonts w:ascii="Calibri" w:eastAsia="Calibri" w:hAnsi="Calibri" w:cs="Calibri"/>
                <w:lang w:val="fr-CA"/>
              </w:rPr>
            </w:pPr>
            <w:r w:rsidRPr="00E40693">
              <w:rPr>
                <w:rFonts w:ascii="Calibri" w:eastAsia="Calibri" w:hAnsi="Calibri" w:cs="Calibri"/>
                <w:lang w:val="fr-CA"/>
              </w:rPr>
              <w:t>La résistance de Kanesatake</w:t>
            </w:r>
            <w:r w:rsidR="007D6FE6" w:rsidRPr="00E40693">
              <w:rPr>
                <w:rFonts w:ascii="Calibri" w:eastAsia="Calibri" w:hAnsi="Calibri" w:cs="Calibri"/>
                <w:lang w:val="fr-CA"/>
              </w:rPr>
              <w:t xml:space="preserve">, aussi connue sous le nom de crise d’Oka ou la résistance mohawk à Kanesatake, était </w:t>
            </w:r>
            <w:r w:rsidR="00B27AC2" w:rsidRPr="00E40693">
              <w:rPr>
                <w:rFonts w:ascii="Calibri" w:eastAsia="Calibri" w:hAnsi="Calibri" w:cs="Calibri"/>
                <w:lang w:val="fr-CA"/>
              </w:rPr>
              <w:t>une confrontation de 78 jours (du 11 juillet au 26 septembre 1990)</w:t>
            </w:r>
            <w:r w:rsidR="00BC3D24" w:rsidRPr="00E40693">
              <w:rPr>
                <w:rFonts w:ascii="Calibri" w:eastAsia="Calibri" w:hAnsi="Calibri" w:cs="Calibri"/>
                <w:lang w:val="fr-CA"/>
              </w:rPr>
              <w:t xml:space="preserve"> entre des manifestant(e)s </w:t>
            </w:r>
            <w:proofErr w:type="gramStart"/>
            <w:r w:rsidR="00BC3D24" w:rsidRPr="00E40693">
              <w:rPr>
                <w:rFonts w:ascii="Calibri" w:eastAsia="Calibri" w:hAnsi="Calibri" w:cs="Calibri"/>
                <w:lang w:val="fr-CA"/>
              </w:rPr>
              <w:t>kanien'kehá:ka</w:t>
            </w:r>
            <w:proofErr w:type="gramEnd"/>
            <w:r w:rsidR="00BC3D24" w:rsidRPr="00E40693">
              <w:rPr>
                <w:rFonts w:ascii="Calibri" w:eastAsia="Calibri" w:hAnsi="Calibri" w:cs="Calibri"/>
                <w:lang w:val="fr-CA"/>
              </w:rPr>
              <w:t xml:space="preserve"> (mohawks)</w:t>
            </w:r>
            <w:r w:rsidR="009873BE" w:rsidRPr="00E40693">
              <w:rPr>
                <w:rFonts w:ascii="Calibri" w:eastAsia="Calibri" w:hAnsi="Calibri" w:cs="Calibri"/>
                <w:lang w:val="fr-CA"/>
              </w:rPr>
              <w:t xml:space="preserve">, la police québécoise, la GRC et l’armée canadienne. Elle prit place </w:t>
            </w:r>
            <w:r w:rsidR="00691719" w:rsidRPr="00E40693">
              <w:rPr>
                <w:rFonts w:ascii="Calibri" w:eastAsia="Calibri" w:hAnsi="Calibri" w:cs="Calibri"/>
                <w:lang w:val="fr-CA"/>
              </w:rPr>
              <w:t xml:space="preserve">dans la communauté de Kanesatake, près de la ville d’Oka </w:t>
            </w:r>
            <w:r w:rsidR="00607B0D" w:rsidRPr="00E40693">
              <w:rPr>
                <w:rFonts w:ascii="Calibri" w:eastAsia="Calibri" w:hAnsi="Calibri" w:cs="Calibri"/>
                <w:lang w:val="fr-CA"/>
              </w:rPr>
              <w:t>dans</w:t>
            </w:r>
            <w:r w:rsidR="00691719" w:rsidRPr="00E40693">
              <w:rPr>
                <w:rFonts w:ascii="Calibri" w:eastAsia="Calibri" w:hAnsi="Calibri" w:cs="Calibri"/>
                <w:lang w:val="fr-CA"/>
              </w:rPr>
              <w:t xml:space="preserve"> la </w:t>
            </w:r>
            <w:r w:rsidR="00607B0D" w:rsidRPr="00E40693">
              <w:rPr>
                <w:rFonts w:ascii="Calibri" w:eastAsia="Calibri" w:hAnsi="Calibri" w:cs="Calibri"/>
                <w:lang w:val="fr-CA"/>
              </w:rPr>
              <w:t>Rive-Nord</w:t>
            </w:r>
            <w:r w:rsidR="00691719" w:rsidRPr="00E40693">
              <w:rPr>
                <w:rFonts w:ascii="Calibri" w:eastAsia="Calibri" w:hAnsi="Calibri" w:cs="Calibri"/>
                <w:lang w:val="fr-CA"/>
              </w:rPr>
              <w:t xml:space="preserve"> de Montréal</w:t>
            </w:r>
            <w:r w:rsidR="00607B0D" w:rsidRPr="00E40693">
              <w:rPr>
                <w:rFonts w:ascii="Calibri" w:eastAsia="Calibri" w:hAnsi="Calibri" w:cs="Calibri"/>
                <w:lang w:val="fr-CA"/>
              </w:rPr>
              <w:t>. D’autres manifestations</w:t>
            </w:r>
            <w:r w:rsidR="00EA4223" w:rsidRPr="00E40693">
              <w:rPr>
                <w:rFonts w:ascii="Calibri" w:eastAsia="Calibri" w:hAnsi="Calibri" w:cs="Calibri"/>
                <w:lang w:val="fr-CA"/>
              </w:rPr>
              <w:t xml:space="preserve"> et violences</w:t>
            </w:r>
            <w:r w:rsidR="00607B0D" w:rsidRPr="00E40693">
              <w:rPr>
                <w:rFonts w:ascii="Calibri" w:eastAsia="Calibri" w:hAnsi="Calibri" w:cs="Calibri"/>
                <w:lang w:val="fr-CA"/>
              </w:rPr>
              <w:t xml:space="preserve"> liées ont eu cours </w:t>
            </w:r>
            <w:r w:rsidR="001B4955" w:rsidRPr="00E40693">
              <w:rPr>
                <w:rFonts w:ascii="Calibri" w:eastAsia="Calibri" w:hAnsi="Calibri" w:cs="Calibri"/>
                <w:lang w:val="fr-CA"/>
              </w:rPr>
              <w:t xml:space="preserve">à Kahnawake au sud de Montréal. La crise </w:t>
            </w:r>
            <w:r w:rsidR="008E4A90" w:rsidRPr="00E40693">
              <w:rPr>
                <w:rFonts w:ascii="Calibri" w:eastAsia="Calibri" w:hAnsi="Calibri" w:cs="Calibri"/>
                <w:lang w:val="fr-CA"/>
              </w:rPr>
              <w:t xml:space="preserve">fut causée par une proposition d’expansion d’un terrain de golf et le développement immobilier </w:t>
            </w:r>
            <w:r w:rsidR="00793A0D" w:rsidRPr="00E40693">
              <w:rPr>
                <w:rFonts w:ascii="Calibri" w:eastAsia="Calibri" w:hAnsi="Calibri" w:cs="Calibri"/>
                <w:lang w:val="fr-CA"/>
              </w:rPr>
              <w:t xml:space="preserve">sur des terres disputées à Kanesatake qui comprenaient </w:t>
            </w:r>
            <w:r w:rsidR="00470BB1" w:rsidRPr="00E40693">
              <w:rPr>
                <w:rFonts w:ascii="Calibri" w:eastAsia="Calibri" w:hAnsi="Calibri" w:cs="Calibri"/>
                <w:lang w:val="fr-CA"/>
              </w:rPr>
              <w:t xml:space="preserve">un cimetière </w:t>
            </w:r>
            <w:proofErr w:type="gramStart"/>
            <w:r w:rsidR="00470BB1" w:rsidRPr="00E40693">
              <w:rPr>
                <w:rFonts w:ascii="Calibri" w:eastAsia="Calibri" w:hAnsi="Calibri" w:cs="Calibri"/>
                <w:lang w:val="fr-CA"/>
              </w:rPr>
              <w:t>kanien'kehá:ka</w:t>
            </w:r>
            <w:proofErr w:type="gramEnd"/>
            <w:r w:rsidR="00470BB1" w:rsidRPr="00E40693">
              <w:rPr>
                <w:rFonts w:ascii="Calibri" w:eastAsia="Calibri" w:hAnsi="Calibri" w:cs="Calibri"/>
                <w:lang w:val="fr-CA"/>
              </w:rPr>
              <w:t xml:space="preserve">. Les tensions étaient fortes, surtout après la mort du caporal Marcel </w:t>
            </w:r>
            <w:r w:rsidR="00C90757" w:rsidRPr="00E40693">
              <w:rPr>
                <w:rFonts w:ascii="Calibri" w:eastAsia="Calibri" w:hAnsi="Calibri" w:cs="Calibri"/>
                <w:lang w:val="fr-CA"/>
              </w:rPr>
              <w:t xml:space="preserve">Lemay de la Sûreté du Québec. </w:t>
            </w:r>
            <w:r w:rsidR="00D8442C" w:rsidRPr="00E40693">
              <w:rPr>
                <w:rFonts w:ascii="Calibri" w:eastAsia="Calibri" w:hAnsi="Calibri" w:cs="Calibri"/>
                <w:lang w:val="fr-CA"/>
              </w:rPr>
              <w:t xml:space="preserve">Éventuellement, l’armée a été appelée et les manifestations ont cessé. </w:t>
            </w:r>
            <w:r w:rsidR="008D5792" w:rsidRPr="00E40693">
              <w:rPr>
                <w:rFonts w:ascii="Calibri" w:eastAsia="Calibri" w:hAnsi="Calibri" w:cs="Calibri"/>
                <w:lang w:val="fr-CA"/>
              </w:rPr>
              <w:t xml:space="preserve">L’expansion du terrain de golf a été annulée et les terres achetées par le gouvernement fédéral. </w:t>
            </w:r>
            <w:r w:rsidR="0031452D" w:rsidRPr="00E40693">
              <w:rPr>
                <w:rFonts w:ascii="Calibri" w:eastAsia="Calibri" w:hAnsi="Calibri" w:cs="Calibri"/>
                <w:lang w:val="fr-CA"/>
              </w:rPr>
              <w:t xml:space="preserve">Toutefois, celui-ci n’a pas établie ces terres comme terres réservées </w:t>
            </w:r>
            <w:r w:rsidR="000C1E7C" w:rsidRPr="00E40693">
              <w:rPr>
                <w:rFonts w:ascii="Calibri" w:eastAsia="Calibri" w:hAnsi="Calibri" w:cs="Calibri"/>
                <w:lang w:val="fr-CA"/>
              </w:rPr>
              <w:t>et n’a pas transféré les terres à Kanesatake.</w:t>
            </w:r>
            <w:r w:rsidR="0031452D" w:rsidRPr="00E40693">
              <w:rPr>
                <w:rFonts w:ascii="Calibri" w:eastAsia="Calibri" w:hAnsi="Calibri" w:cs="Calibri"/>
                <w:lang w:val="fr-CA"/>
              </w:rPr>
              <w:t xml:space="preserve"> </w:t>
            </w:r>
          </w:p>
        </w:tc>
        <w:tc>
          <w:tcPr>
            <w:tcW w:w="2500" w:type="pct"/>
            <w:tcMar>
              <w:top w:w="288" w:type="dxa"/>
              <w:left w:w="288" w:type="dxa"/>
              <w:bottom w:w="288" w:type="dxa"/>
              <w:right w:w="288" w:type="dxa"/>
            </w:tcMar>
          </w:tcPr>
          <w:p w14:paraId="3E94F8F2" w14:textId="736C83DA" w:rsidR="00361E20" w:rsidRPr="00E40693" w:rsidRDefault="008D2EDF" w:rsidP="00CB30C9">
            <w:pPr>
              <w:pStyle w:val="Heading1"/>
              <w:rPr>
                <w:lang w:val="fr-CA"/>
              </w:rPr>
            </w:pPr>
            <w:r w:rsidRPr="00E40693">
              <w:rPr>
                <w:lang w:val="fr-CA"/>
              </w:rPr>
              <w:t>Idle No More</w:t>
            </w:r>
          </w:p>
          <w:p w14:paraId="112302D1" w14:textId="5B801EEF" w:rsidR="008D2EDF" w:rsidRPr="00E40693" w:rsidRDefault="008D2EDF" w:rsidP="00CB30C9">
            <w:pPr>
              <w:rPr>
                <w:lang w:val="fr-CA"/>
              </w:rPr>
            </w:pPr>
            <w:r w:rsidRPr="00E40693">
              <w:rPr>
                <w:lang w:val="fr-CA"/>
              </w:rPr>
              <w:t>Le movement fut initié par les activistes Nina Wilson, Sheelah Mclean, Sylvia McAdam Saysewahum et Jessica Gordon en novembre 2012</w:t>
            </w:r>
            <w:r w:rsidR="00CB1526" w:rsidRPr="00E40693">
              <w:rPr>
                <w:lang w:val="fr-CA"/>
              </w:rPr>
              <w:t xml:space="preserve"> pendant</w:t>
            </w:r>
            <w:r w:rsidR="00E33AB8" w:rsidRPr="00E40693">
              <w:rPr>
                <w:lang w:val="fr-CA"/>
              </w:rPr>
              <w:t xml:space="preserve"> un </w:t>
            </w:r>
            <w:r w:rsidR="00E33AB8" w:rsidRPr="00E40693">
              <w:rPr>
                <w:i/>
                <w:iCs/>
                <w:lang w:val="fr-CA"/>
              </w:rPr>
              <w:t xml:space="preserve">teach-in </w:t>
            </w:r>
            <w:r w:rsidR="00E33AB8" w:rsidRPr="00E40693">
              <w:rPr>
                <w:lang w:val="fr-CA"/>
              </w:rPr>
              <w:t xml:space="preserve">à la Station 20 West </w:t>
            </w:r>
            <w:r w:rsidR="00520CAE" w:rsidRPr="00E40693">
              <w:rPr>
                <w:lang w:val="fr-CA"/>
              </w:rPr>
              <w:t xml:space="preserve">à Saskatoon nommé Idle No More. </w:t>
            </w:r>
            <w:r w:rsidR="00C76E9F" w:rsidRPr="00E40693">
              <w:rPr>
                <w:lang w:val="fr-CA"/>
              </w:rPr>
              <w:t>Il a été t</w:t>
            </w:r>
            <w:r w:rsidR="004E485C" w:rsidRPr="00E40693">
              <w:rPr>
                <w:lang w:val="fr-CA"/>
              </w:rPr>
              <w:t xml:space="preserve">enu en réponse à l’introduction </w:t>
            </w:r>
            <w:r w:rsidR="00095144" w:rsidRPr="00E40693">
              <w:rPr>
                <w:lang w:val="fr-CA"/>
              </w:rPr>
              <w:t>de la</w:t>
            </w:r>
            <w:r w:rsidR="004E485C" w:rsidRPr="00E40693">
              <w:rPr>
                <w:lang w:val="fr-CA"/>
              </w:rPr>
              <w:t xml:space="preserve"> loi C-45</w:t>
            </w:r>
            <w:r w:rsidR="00C76E9F" w:rsidRPr="00E40693">
              <w:rPr>
                <w:lang w:val="fr-CA"/>
              </w:rPr>
              <w:t xml:space="preserve"> du gouvernement Harper. Sylvia McAdam, une autrice et éducatrice </w:t>
            </w:r>
            <w:r w:rsidR="00382D0C" w:rsidRPr="00E40693">
              <w:rPr>
                <w:lang w:val="fr-CA"/>
              </w:rPr>
              <w:t>de la nation nehiyaw (crie)</w:t>
            </w:r>
            <w:r w:rsidR="00B5509F" w:rsidRPr="00E40693">
              <w:rPr>
                <w:lang w:val="fr-CA"/>
              </w:rPr>
              <w:t xml:space="preserve">, affirma </w:t>
            </w:r>
            <w:r w:rsidR="006F7CC2" w:rsidRPr="00E40693">
              <w:rPr>
                <w:lang w:val="fr-CA"/>
              </w:rPr>
              <w:t xml:space="preserve">que « l’une des motivations les plus fortes est nos enfants. Nous voulons qu’iels </w:t>
            </w:r>
            <w:r w:rsidR="00936A82" w:rsidRPr="00E40693">
              <w:rPr>
                <w:lang w:val="fr-CA"/>
              </w:rPr>
              <w:t xml:space="preserve">soient témoins que nous n’étions pas silencieux(-ses) </w:t>
            </w:r>
            <w:r w:rsidR="00662251" w:rsidRPr="00E40693">
              <w:rPr>
                <w:lang w:val="fr-CA"/>
              </w:rPr>
              <w:t>sur</w:t>
            </w:r>
            <w:r w:rsidR="00FB5E15" w:rsidRPr="00E40693">
              <w:rPr>
                <w:lang w:val="fr-CA"/>
              </w:rPr>
              <w:t xml:space="preserve"> la loi C-45</w:t>
            </w:r>
            <w:r w:rsidR="00662251" w:rsidRPr="00E40693">
              <w:rPr>
                <w:lang w:val="fr-CA"/>
              </w:rPr>
              <w:t>. »</w:t>
            </w:r>
          </w:p>
          <w:p w14:paraId="2FE1C301" w14:textId="77777777" w:rsidR="00AC47E1" w:rsidRPr="00E40693" w:rsidRDefault="001641E6" w:rsidP="00CB30C9">
            <w:pPr>
              <w:rPr>
                <w:lang w:val="fr-CA"/>
              </w:rPr>
            </w:pPr>
            <w:r w:rsidRPr="00E40693">
              <w:rPr>
                <w:lang w:val="fr-CA"/>
              </w:rPr>
              <w:t xml:space="preserve">Ceci a mené à d’autres </w:t>
            </w:r>
            <w:r w:rsidRPr="00E40693">
              <w:rPr>
                <w:i/>
                <w:iCs/>
                <w:lang w:val="fr-CA"/>
              </w:rPr>
              <w:t>teach-in</w:t>
            </w:r>
            <w:r w:rsidR="00796565" w:rsidRPr="00E40693">
              <w:rPr>
                <w:lang w:val="fr-CA"/>
              </w:rPr>
              <w:t xml:space="preserve">, rallyes et manifestations planifiés par </w:t>
            </w:r>
            <w:r w:rsidR="00462A85" w:rsidRPr="00E40693">
              <w:rPr>
                <w:lang w:val="fr-CA"/>
              </w:rPr>
              <w:t xml:space="preserve">les fondatrices pour le Jour national d’action le 10 décembre, coïncidant avec </w:t>
            </w:r>
            <w:r w:rsidR="00DB48F8" w:rsidRPr="00E40693">
              <w:rPr>
                <w:lang w:val="fr-CA"/>
              </w:rPr>
              <w:t>la Journée des droits de l’homme d’Amnist</w:t>
            </w:r>
            <w:r w:rsidR="00FB6910" w:rsidRPr="00E40693">
              <w:rPr>
                <w:lang w:val="fr-CA"/>
              </w:rPr>
              <w:t xml:space="preserve">ie internationale. D’autres manifestations similaires </w:t>
            </w:r>
            <w:r w:rsidR="00A15AAA" w:rsidRPr="00E40693">
              <w:rPr>
                <w:lang w:val="fr-CA"/>
              </w:rPr>
              <w:t>étaient déjà en cours, notamment</w:t>
            </w:r>
            <w:r w:rsidR="000955D1" w:rsidRPr="00E40693">
              <w:rPr>
                <w:lang w:val="fr-CA"/>
              </w:rPr>
              <w:t xml:space="preserve"> en Colombie-Britannique</w:t>
            </w:r>
            <w:r w:rsidR="004508BA" w:rsidRPr="00E40693">
              <w:rPr>
                <w:lang w:val="fr-CA"/>
              </w:rPr>
              <w:t xml:space="preserve"> contre les pipelines Northern Gateway et Pacific </w:t>
            </w:r>
            <w:proofErr w:type="gramStart"/>
            <w:r w:rsidR="004508BA" w:rsidRPr="00E40693">
              <w:rPr>
                <w:lang w:val="fr-CA"/>
              </w:rPr>
              <w:t xml:space="preserve">Trails </w:t>
            </w:r>
            <w:r w:rsidR="00A15AAA" w:rsidRPr="00E40693">
              <w:rPr>
                <w:lang w:val="fr-CA"/>
              </w:rPr>
              <w:t xml:space="preserve"> et</w:t>
            </w:r>
            <w:proofErr w:type="gramEnd"/>
            <w:r w:rsidR="00A15AAA" w:rsidRPr="00E40693">
              <w:rPr>
                <w:lang w:val="fr-CA"/>
              </w:rPr>
              <w:t xml:space="preserve"> des marches et des manifestations étudiantes </w:t>
            </w:r>
            <w:r w:rsidR="000955D1" w:rsidRPr="00E40693">
              <w:rPr>
                <w:lang w:val="fr-CA"/>
              </w:rPr>
              <w:t>au Native Education College.</w:t>
            </w:r>
          </w:p>
          <w:p w14:paraId="74FF9177" w14:textId="08F98EBC" w:rsidR="003A0046" w:rsidRPr="00E40693" w:rsidRDefault="00AC47E1" w:rsidP="00CB30C9">
            <w:pPr>
              <w:rPr>
                <w:lang w:val="fr-CA"/>
              </w:rPr>
            </w:pPr>
            <w:r w:rsidRPr="00E40693">
              <w:rPr>
                <w:lang w:val="fr-CA"/>
              </w:rPr>
              <w:t xml:space="preserve">Les manifestations ont été lancées pour coïncider aussi avec l’annonce de la Cheffe </w:t>
            </w:r>
            <w:r w:rsidR="00EF1CF7" w:rsidRPr="00E40693">
              <w:rPr>
                <w:lang w:val="fr-CA"/>
              </w:rPr>
              <w:t xml:space="preserve">Theresa Spence d’Attawapiskat de sa grève </w:t>
            </w:r>
            <w:r w:rsidR="00E80C4F" w:rsidRPr="00E40693">
              <w:rPr>
                <w:lang w:val="fr-CA"/>
              </w:rPr>
              <w:t>de la faim</w:t>
            </w:r>
            <w:r w:rsidR="00102DA1" w:rsidRPr="00E40693">
              <w:rPr>
                <w:lang w:val="fr-CA"/>
              </w:rPr>
              <w:t xml:space="preserve">. L’objectif était de rencontrer le premier ministre Harper et le </w:t>
            </w:r>
            <w:r w:rsidR="006779DD" w:rsidRPr="00E40693">
              <w:rPr>
                <w:lang w:val="fr-CA"/>
              </w:rPr>
              <w:t>gouverneur général du Canada</w:t>
            </w:r>
            <w:r w:rsidR="006D15E0" w:rsidRPr="00E40693">
              <w:rPr>
                <w:lang w:val="fr-CA"/>
              </w:rPr>
              <w:t xml:space="preserve"> pour discuter de droits ancestraux. </w:t>
            </w:r>
            <w:r w:rsidR="00E91669" w:rsidRPr="00E40693">
              <w:rPr>
                <w:lang w:val="fr-CA"/>
              </w:rPr>
              <w:t>Le 16 décembre, l</w:t>
            </w:r>
            <w:r w:rsidR="006D15E0" w:rsidRPr="00E40693">
              <w:rPr>
                <w:lang w:val="fr-CA"/>
              </w:rPr>
              <w:t>’Assemblée des Premières Nations</w:t>
            </w:r>
            <w:r w:rsidR="00421876" w:rsidRPr="00E40693">
              <w:rPr>
                <w:lang w:val="fr-CA"/>
              </w:rPr>
              <w:t xml:space="preserve"> ont</w:t>
            </w:r>
            <w:r w:rsidR="00E91669" w:rsidRPr="00E40693">
              <w:rPr>
                <w:lang w:val="fr-CA"/>
              </w:rPr>
              <w:t xml:space="preserve"> </w:t>
            </w:r>
            <w:r w:rsidR="00421876" w:rsidRPr="00E40693">
              <w:rPr>
                <w:lang w:val="fr-CA"/>
              </w:rPr>
              <w:t xml:space="preserve">publié une lettre ouverte </w:t>
            </w:r>
            <w:r w:rsidR="00E91669" w:rsidRPr="00E40693">
              <w:rPr>
                <w:lang w:val="fr-CA"/>
              </w:rPr>
              <w:t>appelant</w:t>
            </w:r>
            <w:r w:rsidR="00421876" w:rsidRPr="00E40693">
              <w:rPr>
                <w:lang w:val="fr-CA"/>
              </w:rPr>
              <w:t xml:space="preserve"> le gouverneur général </w:t>
            </w:r>
            <w:r w:rsidR="00E91669" w:rsidRPr="00E40693">
              <w:rPr>
                <w:lang w:val="fr-CA"/>
              </w:rPr>
              <w:t xml:space="preserve">David Johnston </w:t>
            </w:r>
            <w:r w:rsidR="00AB30A1" w:rsidRPr="00E40693">
              <w:rPr>
                <w:lang w:val="fr-CA"/>
              </w:rPr>
              <w:t>à une rencontre pour discuter des demandes de la Cheffe Spence.</w:t>
            </w:r>
          </w:p>
        </w:tc>
      </w:tr>
      <w:tr w:rsidR="00CB30C9" w:rsidRPr="00461CC3" w14:paraId="206A6F6E" w14:textId="77777777" w:rsidTr="00CB30C9">
        <w:trPr>
          <w:trHeight w:val="3833"/>
        </w:trPr>
        <w:tc>
          <w:tcPr>
            <w:tcW w:w="2500" w:type="pct"/>
            <w:tcMar>
              <w:top w:w="288" w:type="dxa"/>
              <w:left w:w="288" w:type="dxa"/>
              <w:bottom w:w="288" w:type="dxa"/>
              <w:right w:w="288" w:type="dxa"/>
            </w:tcMar>
          </w:tcPr>
          <w:p w14:paraId="533114B0" w14:textId="77777777" w:rsidR="00CB30C9" w:rsidRPr="00CB30C9" w:rsidRDefault="00CB30C9" w:rsidP="00CB30C9">
            <w:pPr>
              <w:pStyle w:val="Heading1"/>
              <w:rPr>
                <w:lang w:val="fr-CA"/>
              </w:rPr>
            </w:pPr>
            <w:r w:rsidRPr="00CB30C9">
              <w:rPr>
                <w:lang w:val="fr-CA"/>
              </w:rPr>
              <w:t>Gazoduc Coastal GasLink</w:t>
            </w:r>
          </w:p>
          <w:p w14:paraId="50F4C239" w14:textId="06E853B9" w:rsidR="00CB30C9" w:rsidRPr="00E40693" w:rsidRDefault="00CB30C9" w:rsidP="00CB30C9">
            <w:pPr>
              <w:rPr>
                <w:lang w:val="fr-CA"/>
              </w:rPr>
            </w:pPr>
            <w:r w:rsidRPr="00CB30C9">
              <w:rPr>
                <w:lang w:val="fr-CA"/>
              </w:rPr>
              <w:t>La planification d’un pipeline à travers le territoire de la nation wet’suwet’en, sans le consentement des chef(-</w:t>
            </w:r>
            <w:proofErr w:type="gramStart"/>
            <w:r w:rsidRPr="00CB30C9">
              <w:rPr>
                <w:lang w:val="fr-CA"/>
              </w:rPr>
              <w:t>fe)s</w:t>
            </w:r>
            <w:proofErr w:type="gramEnd"/>
            <w:r w:rsidRPr="00CB30C9">
              <w:rPr>
                <w:lang w:val="fr-CA"/>
              </w:rPr>
              <w:t xml:space="preserve"> héréditaires, a mené à des manifestations sous formes de points de contrôle pour bloquer le développement. En réponse, le gouvernement envoya la police pour les en arrêter (Temper, 2018). Plusieurs Premiers Peuples manifestèrent contre le pouvoir colonial et pour l’affirmation de leurs droits sur les territoires et pour l’autorité autochtone traditionnelle (McCreary et Turner, 2018).</w:t>
            </w:r>
          </w:p>
        </w:tc>
        <w:tc>
          <w:tcPr>
            <w:tcW w:w="2500" w:type="pct"/>
            <w:tcMar>
              <w:top w:w="288" w:type="dxa"/>
              <w:left w:w="288" w:type="dxa"/>
              <w:bottom w:w="288" w:type="dxa"/>
              <w:right w:w="288" w:type="dxa"/>
            </w:tcMar>
          </w:tcPr>
          <w:p w14:paraId="583D4CAA" w14:textId="77777777" w:rsidR="00CB30C9" w:rsidRPr="00CB30C9" w:rsidRDefault="00CB30C9" w:rsidP="00CB30C9">
            <w:pPr>
              <w:pStyle w:val="Heading1"/>
              <w:rPr>
                <w:lang w:val="fr-CA"/>
              </w:rPr>
            </w:pPr>
            <w:r w:rsidRPr="00CB30C9">
              <w:rPr>
                <w:lang w:val="fr-CA"/>
              </w:rPr>
              <w:t>La nation crie et la baie James</w:t>
            </w:r>
          </w:p>
          <w:p w14:paraId="42B3057A" w14:textId="77E3A89C" w:rsidR="00CB30C9" w:rsidRPr="00CB30C9" w:rsidRDefault="00CB30C9" w:rsidP="00CB30C9">
            <w:pPr>
              <w:rPr>
                <w:lang w:val="fr-CA"/>
              </w:rPr>
            </w:pPr>
            <w:r w:rsidRPr="00CB30C9">
              <w:rPr>
                <w:lang w:val="fr-CA"/>
              </w:rPr>
              <w:t>Au moment de l’annonce par le gouvernement provincial du mégaprojet hydroélectrique en Jamésie en 1971, le mode de vie de subsistance qui a soutenu les Cri(e)s avait déjà bien changé. Néanmoins, de jeunes leadeurs cris éduqués dans le Sud et soutenus par les chasseurs plus vieux ont démontré être une force à reconnaitre.</w:t>
            </w:r>
          </w:p>
          <w:p w14:paraId="58CBE058" w14:textId="68E5EC7D" w:rsidR="00CB30C9" w:rsidRPr="00E40693" w:rsidRDefault="00CB30C9" w:rsidP="00CB30C9">
            <w:pPr>
              <w:rPr>
                <w:lang w:val="fr-CA"/>
              </w:rPr>
            </w:pPr>
            <w:r w:rsidRPr="00CB30C9">
              <w:rPr>
                <w:lang w:val="fr-CA"/>
              </w:rPr>
              <w:t>En 1975, les négociations entre la nation crie, les Inuit et les gouvernements du Québec et du Canada ont résulté en la Convention de la Baie-James et du Nord québécois (CBJNQ), la première revendication territoriale compréhensive nordique à avoir été réglée au Canada.</w:t>
            </w:r>
          </w:p>
        </w:tc>
      </w:tr>
      <w:tr w:rsidR="003A0046" w:rsidRPr="00461CC3" w14:paraId="245C9AFA" w14:textId="77777777" w:rsidTr="00D65B90">
        <w:tc>
          <w:tcPr>
            <w:tcW w:w="2500" w:type="pct"/>
            <w:tcMar>
              <w:top w:w="288" w:type="dxa"/>
              <w:left w:w="288" w:type="dxa"/>
              <w:bottom w:w="288" w:type="dxa"/>
              <w:right w:w="288" w:type="dxa"/>
            </w:tcMar>
          </w:tcPr>
          <w:p w14:paraId="621E1F5C" w14:textId="77777777" w:rsidR="00461CC3" w:rsidRPr="00683772" w:rsidRDefault="00461CC3" w:rsidP="00461CC3">
            <w:pPr>
              <w:pStyle w:val="Heading1"/>
              <w:rPr>
                <w:lang w:val="fr-CA"/>
              </w:rPr>
            </w:pPr>
            <w:r w:rsidRPr="00683772">
              <w:rPr>
                <w:lang w:val="fr-CA"/>
              </w:rPr>
              <w:lastRenderedPageBreak/>
              <w:t>Règle du mariage avec un non-Indien</w:t>
            </w:r>
          </w:p>
          <w:p w14:paraId="3456D3FD" w14:textId="38A5E4B0" w:rsidR="00461CC3" w:rsidRPr="00B517E8" w:rsidRDefault="00461CC3" w:rsidP="00461CC3">
            <w:pPr>
              <w:rPr>
                <w:lang w:val="fr-CA"/>
              </w:rPr>
            </w:pPr>
            <w:r w:rsidRPr="00683772">
              <w:rPr>
                <w:lang w:val="fr-CA"/>
              </w:rPr>
              <w:t>Sous la Loi sur les Indiens, une femme indienne mariant un non-Indien (un allochtone comme un Autochtone non statué) perdait son statut. Si elle se mariait avec un homme indien d’une autre bande indienne, elle arrêtait d’être membre de sa bande pour devenir membre de la bande de son mari. Légalement, son statut devenait conditionnel à celui de son mari. Qu’elle mari un non-Indien ou un Indien, une femme indienne pouvait être séparée de sa communauté, de sa famille et de ses connexions à son héritage culturel. Les amendements à la Loi sur les Indiens de 1951 allaient plus loin encore en codifiant les provisions en rapport au statut d’Indien discriminatoire envers les femmes. La Section 12(1)(b) retirait le statut de toute femme qui se mariait à un non-Indien, même si celui-ci était un Autochtone sans statut du Canada ou un Autochtone des États-Unis.</w:t>
            </w:r>
          </w:p>
        </w:tc>
        <w:tc>
          <w:tcPr>
            <w:tcW w:w="2500" w:type="pct"/>
            <w:tcMar>
              <w:top w:w="288" w:type="dxa"/>
              <w:left w:w="288" w:type="dxa"/>
              <w:bottom w:w="288" w:type="dxa"/>
              <w:right w:w="288" w:type="dxa"/>
            </w:tcMar>
          </w:tcPr>
          <w:p w14:paraId="476677F7" w14:textId="77777777" w:rsidR="00683772" w:rsidRPr="00683772" w:rsidRDefault="00683772" w:rsidP="00683772">
            <w:pPr>
              <w:pStyle w:val="Heading1"/>
              <w:rPr>
                <w:lang w:val="fr-CA"/>
              </w:rPr>
            </w:pPr>
            <w:r w:rsidRPr="00683772">
              <w:rPr>
                <w:lang w:val="fr-CA"/>
              </w:rPr>
              <w:t>Épidémie de variole</w:t>
            </w:r>
          </w:p>
          <w:p w14:paraId="41151ECA" w14:textId="4CAE2CD6" w:rsidR="00683772" w:rsidRPr="00683772" w:rsidRDefault="00683772" w:rsidP="00683772">
            <w:pPr>
              <w:rPr>
                <w:lang w:val="fr-CA"/>
              </w:rPr>
            </w:pPr>
            <w:r w:rsidRPr="00683772">
              <w:rPr>
                <w:lang w:val="fr-CA"/>
              </w:rPr>
              <w:t xml:space="preserve">La variole a traversée l’Atlantique lorsque les empires européens ont commencé à s’étendre en Amérique au 16e siècle. La traite des fourrures a exposé répétitivement les communautés innu et anishinabeg à la maladie. Plusieurs tombèrent malades et moururent à cause de leur manque d’immunité. La maladie s’est répandue dans les Maritimes et dans les régions de la baie James et des Grands Lacs. </w:t>
            </w:r>
          </w:p>
          <w:p w14:paraId="624AFFFA" w14:textId="77777777" w:rsidR="00683772" w:rsidRPr="00683772" w:rsidRDefault="00683772" w:rsidP="00683772">
            <w:pPr>
              <w:rPr>
                <w:lang w:val="fr-CA"/>
              </w:rPr>
            </w:pPr>
            <w:r w:rsidRPr="00683772">
              <w:rPr>
                <w:lang w:val="fr-CA"/>
              </w:rPr>
              <w:t>Entre 1634 et 1640, les prêtres jésuites ont introduit la variole en Wendake (Huronie). Un déclin de la population huronne-wendat de 60% jusqu’en 1640 a été causé par la variole et d’autres maladies.</w:t>
            </w:r>
          </w:p>
          <w:p w14:paraId="020F69DB" w14:textId="724AF66E" w:rsidR="00683772" w:rsidRPr="00E40693" w:rsidRDefault="00683772" w:rsidP="00683772">
            <w:pPr>
              <w:rPr>
                <w:lang w:val="fr-CA"/>
              </w:rPr>
            </w:pPr>
            <w:r w:rsidRPr="00683772">
              <w:rPr>
                <w:lang w:val="fr-CA"/>
              </w:rPr>
              <w:t>Le virus suivit l’installation progressive vers l’ouest des postes de traite européens. De 1779 à 1783, la variole se répandit dans les provinces actuelles du Manitoba, de la Saskatchewan et de l’Alberta. Certaines communautés des Plaines ont perdu près de 75% de leurs membres.</w:t>
            </w:r>
          </w:p>
        </w:tc>
      </w:tr>
      <w:tr w:rsidR="00683772" w:rsidRPr="00D65B90" w14:paraId="3437B317" w14:textId="77777777" w:rsidTr="00D65B90">
        <w:tc>
          <w:tcPr>
            <w:tcW w:w="2500" w:type="pct"/>
            <w:tcMar>
              <w:top w:w="288" w:type="dxa"/>
              <w:left w:w="288" w:type="dxa"/>
              <w:bottom w:w="288" w:type="dxa"/>
              <w:right w:w="288" w:type="dxa"/>
            </w:tcMar>
          </w:tcPr>
          <w:p w14:paraId="2DFDFD2C" w14:textId="77777777" w:rsidR="00461CC3" w:rsidRPr="00683772" w:rsidRDefault="00461CC3" w:rsidP="00461CC3">
            <w:pPr>
              <w:pStyle w:val="Heading1"/>
              <w:rPr>
                <w:lang w:val="fr-CA"/>
              </w:rPr>
            </w:pPr>
            <w:r w:rsidRPr="00683772">
              <w:rPr>
                <w:lang w:val="fr-CA"/>
              </w:rPr>
              <w:t>Loi C-31</w:t>
            </w:r>
          </w:p>
          <w:p w14:paraId="03E65129" w14:textId="77777777" w:rsidR="00461CC3" w:rsidRPr="00683772" w:rsidRDefault="00461CC3" w:rsidP="00461CC3">
            <w:pPr>
              <w:rPr>
                <w:lang w:val="fr-CA"/>
              </w:rPr>
            </w:pPr>
            <w:r w:rsidRPr="00683772">
              <w:rPr>
                <w:lang w:val="fr-CA"/>
              </w:rPr>
              <w:t>Ce n’est que le 17 avril 1985 qu’a été entérinée la Loi C-31 qui révisait enfin la Loi sur les Indiens en s’attaquant à la discrimination du genre.</w:t>
            </w:r>
          </w:p>
          <w:p w14:paraId="6FD9ACB2" w14:textId="37222EA1" w:rsidR="00683772" w:rsidRPr="00683772" w:rsidRDefault="00461CC3" w:rsidP="00683772">
            <w:pPr>
              <w:rPr>
                <w:lang w:val="fr-CA"/>
              </w:rPr>
            </w:pPr>
            <w:r w:rsidRPr="00683772">
              <w:rPr>
                <w:lang w:val="fr-CA"/>
              </w:rPr>
              <w:t>La Loi sur les Indiens de 1985 a aboli l’émancipation et restauré le statut aux personnes qui l’avait perdu à cause de l’émancipation. Elle a aussi aboli la Section 12(1)(b) sur le mariage des femmes indiennes à des non-Indiens, ainsi que la Section 12(1)(a)(iv), soit la règle mère grand-mère. Le statut par mariage et non par ascendance a aussi été éliminé. Cette révision résulta à gain de statut pour 127 000 personnes et à sa perte pour 106 000 personnes.</w:t>
            </w:r>
          </w:p>
        </w:tc>
        <w:tc>
          <w:tcPr>
            <w:tcW w:w="2500" w:type="pct"/>
            <w:tcMar>
              <w:top w:w="288" w:type="dxa"/>
              <w:left w:w="288" w:type="dxa"/>
              <w:bottom w:w="288" w:type="dxa"/>
              <w:right w:w="288" w:type="dxa"/>
            </w:tcMar>
          </w:tcPr>
          <w:p w14:paraId="0F3C9F0B" w14:textId="77777777" w:rsidR="00683772" w:rsidRPr="00683772" w:rsidRDefault="00683772" w:rsidP="00683772">
            <w:pPr>
              <w:pStyle w:val="Heading1"/>
              <w:rPr>
                <w:lang w:val="fr-CA"/>
              </w:rPr>
            </w:pPr>
            <w:r w:rsidRPr="00683772">
              <w:rPr>
                <w:lang w:val="fr-CA"/>
              </w:rPr>
              <w:t>Joyce Echaquan</w:t>
            </w:r>
          </w:p>
          <w:p w14:paraId="0CC31CE2" w14:textId="1995A6EA" w:rsidR="00683772" w:rsidRPr="00683772" w:rsidRDefault="00683772" w:rsidP="00683772">
            <w:pPr>
              <w:rPr>
                <w:lang w:val="fr-CA"/>
              </w:rPr>
            </w:pPr>
            <w:r w:rsidRPr="00683772">
              <w:rPr>
                <w:lang w:val="fr-CA"/>
              </w:rPr>
              <w:t>Joyce Echaquan était une femme atikamekw de 37 ans qui est décédée le 28 septembre 2020 au Centre hospitalier de Lanaudière, situé à Saint-Charles-Borromée, au Québec. Avant sa mort, elle publia une vidéo en direct par Facebook qui la montrait crier en détresse et les travailleuses en soins de santé l’abuser en pensant qu’elle était une personne dépendante à la drogue et subissant les symptômes d’un sevrage. Cet évènement a largement été décrit comme raciste.</w:t>
            </w:r>
          </w:p>
        </w:tc>
      </w:tr>
      <w:tr w:rsidR="00683772" w:rsidRPr="00461CC3" w14:paraId="095A0E71" w14:textId="77777777" w:rsidTr="00D65B90">
        <w:tc>
          <w:tcPr>
            <w:tcW w:w="2500" w:type="pct"/>
            <w:tcMar>
              <w:top w:w="288" w:type="dxa"/>
              <w:left w:w="288" w:type="dxa"/>
              <w:bottom w:w="288" w:type="dxa"/>
              <w:right w:w="288" w:type="dxa"/>
            </w:tcMar>
          </w:tcPr>
          <w:p w14:paraId="49F20B41" w14:textId="77777777" w:rsidR="00683772" w:rsidRPr="00683772" w:rsidRDefault="00683772" w:rsidP="00683772">
            <w:pPr>
              <w:pStyle w:val="Heading1"/>
              <w:rPr>
                <w:lang w:val="fr-CA"/>
              </w:rPr>
            </w:pPr>
            <w:r w:rsidRPr="00683772">
              <w:rPr>
                <w:lang w:val="fr-CA"/>
              </w:rPr>
              <w:t>Interdiction du potlatch</w:t>
            </w:r>
          </w:p>
          <w:p w14:paraId="7B635945" w14:textId="65A6A6B6" w:rsidR="00683772" w:rsidRPr="00683772" w:rsidRDefault="00683772" w:rsidP="00683772">
            <w:pPr>
              <w:rPr>
                <w:lang w:val="fr-CA"/>
              </w:rPr>
            </w:pPr>
            <w:r w:rsidRPr="00683772">
              <w:rPr>
                <w:lang w:val="fr-CA"/>
              </w:rPr>
              <w:t>*Dans le cadre de ses politiques assimilationnistes, le gouvernement fédéral a interdit les potlatchs de 1884 à 1951 grâce à un amendement dans la Loi sur les Indiens. Le gouvernement et ses partisan(e)s voyaient dans ces cérémonies comme anitchrétiennes, irréfléchies et gaspillant de la propriété personnelle.</w:t>
            </w:r>
          </w:p>
        </w:tc>
        <w:tc>
          <w:tcPr>
            <w:tcW w:w="2500" w:type="pct"/>
            <w:tcMar>
              <w:top w:w="288" w:type="dxa"/>
              <w:left w:w="288" w:type="dxa"/>
              <w:bottom w:w="288" w:type="dxa"/>
              <w:right w:w="288" w:type="dxa"/>
            </w:tcMar>
          </w:tcPr>
          <w:p w14:paraId="115E43FD" w14:textId="77777777" w:rsidR="00683772" w:rsidRPr="00683772" w:rsidRDefault="00683772" w:rsidP="00683772">
            <w:pPr>
              <w:pStyle w:val="Heading1"/>
              <w:rPr>
                <w:lang w:val="fr-CA"/>
              </w:rPr>
            </w:pPr>
            <w:r w:rsidRPr="00683772">
              <w:rPr>
                <w:lang w:val="fr-CA"/>
              </w:rPr>
              <w:t>Loi C-92</w:t>
            </w:r>
          </w:p>
          <w:p w14:paraId="2D64A6A7" w14:textId="626C5481" w:rsidR="00683772" w:rsidRPr="00683772" w:rsidRDefault="00683772" w:rsidP="00683772">
            <w:pPr>
              <w:rPr>
                <w:lang w:val="fr-CA"/>
              </w:rPr>
            </w:pPr>
            <w:r w:rsidRPr="00683772">
              <w:rPr>
                <w:lang w:val="fr-CA"/>
              </w:rPr>
              <w:t>La Loi C-92 est une loi qui reconnait le droit des communautés autochtones à créer leurs propres politiques et lois concernant les enfants et les familles. Sous C-92, cinq gouvernements autochtones ont, jusqu’à maintenant, pris le contrôle de leurs services pour les enfants et les familles selon Services aux Autochtones Canada.</w:t>
            </w:r>
          </w:p>
        </w:tc>
      </w:tr>
    </w:tbl>
    <w:p w14:paraId="082AD2B4" w14:textId="77777777" w:rsidR="003A0046" w:rsidRPr="00E40693" w:rsidRDefault="003A0046" w:rsidP="00D65B90">
      <w:pPr>
        <w:rPr>
          <w:lang w:val="fr-CA"/>
        </w:rPr>
      </w:pPr>
    </w:p>
    <w:sectPr w:rsidR="003A0046" w:rsidRPr="00E40693" w:rsidSect="00D65B9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46"/>
    <w:rsid w:val="00011592"/>
    <w:rsid w:val="00015AB8"/>
    <w:rsid w:val="000375F1"/>
    <w:rsid w:val="000376EC"/>
    <w:rsid w:val="00045E04"/>
    <w:rsid w:val="00050576"/>
    <w:rsid w:val="0005082F"/>
    <w:rsid w:val="000665D9"/>
    <w:rsid w:val="00090311"/>
    <w:rsid w:val="00095144"/>
    <w:rsid w:val="000955D1"/>
    <w:rsid w:val="000A7D82"/>
    <w:rsid w:val="000B3EF5"/>
    <w:rsid w:val="000C1E7C"/>
    <w:rsid w:val="000F1067"/>
    <w:rsid w:val="00102DA1"/>
    <w:rsid w:val="0011247D"/>
    <w:rsid w:val="00134B03"/>
    <w:rsid w:val="00153A30"/>
    <w:rsid w:val="001621BA"/>
    <w:rsid w:val="001641E6"/>
    <w:rsid w:val="00167142"/>
    <w:rsid w:val="001A3506"/>
    <w:rsid w:val="001A73D1"/>
    <w:rsid w:val="001B0C3B"/>
    <w:rsid w:val="001B1FE0"/>
    <w:rsid w:val="001B30E8"/>
    <w:rsid w:val="001B4955"/>
    <w:rsid w:val="001B51FD"/>
    <w:rsid w:val="001B7FC4"/>
    <w:rsid w:val="001C6F58"/>
    <w:rsid w:val="001F31CB"/>
    <w:rsid w:val="00207762"/>
    <w:rsid w:val="0021530E"/>
    <w:rsid w:val="0022460B"/>
    <w:rsid w:val="002317FF"/>
    <w:rsid w:val="00233C76"/>
    <w:rsid w:val="00254EAE"/>
    <w:rsid w:val="00255482"/>
    <w:rsid w:val="00257CB5"/>
    <w:rsid w:val="0026193C"/>
    <w:rsid w:val="0026473B"/>
    <w:rsid w:val="0029194D"/>
    <w:rsid w:val="002A1844"/>
    <w:rsid w:val="002C51B0"/>
    <w:rsid w:val="002C64F5"/>
    <w:rsid w:val="002C7365"/>
    <w:rsid w:val="002D50A1"/>
    <w:rsid w:val="002D738F"/>
    <w:rsid w:val="002F431E"/>
    <w:rsid w:val="002F5C5A"/>
    <w:rsid w:val="00310222"/>
    <w:rsid w:val="0031231A"/>
    <w:rsid w:val="0031452D"/>
    <w:rsid w:val="00316D5B"/>
    <w:rsid w:val="00321F03"/>
    <w:rsid w:val="00326FCC"/>
    <w:rsid w:val="00342057"/>
    <w:rsid w:val="00345EAF"/>
    <w:rsid w:val="00347938"/>
    <w:rsid w:val="00361E20"/>
    <w:rsid w:val="00382D0C"/>
    <w:rsid w:val="00396671"/>
    <w:rsid w:val="003A0046"/>
    <w:rsid w:val="003E2021"/>
    <w:rsid w:val="00405A70"/>
    <w:rsid w:val="00413638"/>
    <w:rsid w:val="00420BCE"/>
    <w:rsid w:val="00421876"/>
    <w:rsid w:val="0042531A"/>
    <w:rsid w:val="0043340E"/>
    <w:rsid w:val="004508BA"/>
    <w:rsid w:val="00456DE4"/>
    <w:rsid w:val="00459C94"/>
    <w:rsid w:val="00461CC3"/>
    <w:rsid w:val="00462A85"/>
    <w:rsid w:val="0046531A"/>
    <w:rsid w:val="00470BB1"/>
    <w:rsid w:val="004833B9"/>
    <w:rsid w:val="004A2383"/>
    <w:rsid w:val="004A69F2"/>
    <w:rsid w:val="004C246D"/>
    <w:rsid w:val="004E485C"/>
    <w:rsid w:val="004E6B23"/>
    <w:rsid w:val="004F3738"/>
    <w:rsid w:val="004F3DCE"/>
    <w:rsid w:val="004F5A77"/>
    <w:rsid w:val="00501B49"/>
    <w:rsid w:val="00520CAE"/>
    <w:rsid w:val="005469F4"/>
    <w:rsid w:val="00551C8A"/>
    <w:rsid w:val="00572372"/>
    <w:rsid w:val="0057529F"/>
    <w:rsid w:val="005913EA"/>
    <w:rsid w:val="005A39D2"/>
    <w:rsid w:val="005B2839"/>
    <w:rsid w:val="005B3E9D"/>
    <w:rsid w:val="005C51F1"/>
    <w:rsid w:val="005F1F80"/>
    <w:rsid w:val="00604557"/>
    <w:rsid w:val="00607B0D"/>
    <w:rsid w:val="00610343"/>
    <w:rsid w:val="0062220E"/>
    <w:rsid w:val="006263CB"/>
    <w:rsid w:val="00630EE5"/>
    <w:rsid w:val="006437D7"/>
    <w:rsid w:val="006447B2"/>
    <w:rsid w:val="00662251"/>
    <w:rsid w:val="00670617"/>
    <w:rsid w:val="006712C3"/>
    <w:rsid w:val="006712FF"/>
    <w:rsid w:val="00677859"/>
    <w:rsid w:val="006779DD"/>
    <w:rsid w:val="00680B47"/>
    <w:rsid w:val="00683772"/>
    <w:rsid w:val="00691719"/>
    <w:rsid w:val="006958E2"/>
    <w:rsid w:val="006A6D8C"/>
    <w:rsid w:val="006B1FE3"/>
    <w:rsid w:val="006C5E31"/>
    <w:rsid w:val="006D15E0"/>
    <w:rsid w:val="006E5E8E"/>
    <w:rsid w:val="006F7CC2"/>
    <w:rsid w:val="0070053B"/>
    <w:rsid w:val="00726884"/>
    <w:rsid w:val="00733F12"/>
    <w:rsid w:val="00737C43"/>
    <w:rsid w:val="0075041D"/>
    <w:rsid w:val="00782C88"/>
    <w:rsid w:val="00790C15"/>
    <w:rsid w:val="00791936"/>
    <w:rsid w:val="00793A0D"/>
    <w:rsid w:val="00796565"/>
    <w:rsid w:val="007A0241"/>
    <w:rsid w:val="007C5685"/>
    <w:rsid w:val="007D4159"/>
    <w:rsid w:val="007D6FE6"/>
    <w:rsid w:val="007E64CF"/>
    <w:rsid w:val="007F695E"/>
    <w:rsid w:val="0083331B"/>
    <w:rsid w:val="00833737"/>
    <w:rsid w:val="008475B8"/>
    <w:rsid w:val="00876AEF"/>
    <w:rsid w:val="008C3512"/>
    <w:rsid w:val="008C6B9D"/>
    <w:rsid w:val="008D10ED"/>
    <w:rsid w:val="008D2EDF"/>
    <w:rsid w:val="008D5792"/>
    <w:rsid w:val="008E4A90"/>
    <w:rsid w:val="008E64AF"/>
    <w:rsid w:val="008E7F19"/>
    <w:rsid w:val="008F4FC4"/>
    <w:rsid w:val="008F717E"/>
    <w:rsid w:val="009009FB"/>
    <w:rsid w:val="0090606B"/>
    <w:rsid w:val="00907658"/>
    <w:rsid w:val="00936A82"/>
    <w:rsid w:val="009639D8"/>
    <w:rsid w:val="00971124"/>
    <w:rsid w:val="0097276E"/>
    <w:rsid w:val="00974B8C"/>
    <w:rsid w:val="009873BE"/>
    <w:rsid w:val="00993359"/>
    <w:rsid w:val="009960E7"/>
    <w:rsid w:val="009A0307"/>
    <w:rsid w:val="009A3DAF"/>
    <w:rsid w:val="009C4F2E"/>
    <w:rsid w:val="009C543F"/>
    <w:rsid w:val="009E2AA9"/>
    <w:rsid w:val="009E5A69"/>
    <w:rsid w:val="00A0669E"/>
    <w:rsid w:val="00A10910"/>
    <w:rsid w:val="00A1196C"/>
    <w:rsid w:val="00A1531D"/>
    <w:rsid w:val="00A15AAA"/>
    <w:rsid w:val="00A3123C"/>
    <w:rsid w:val="00A3166B"/>
    <w:rsid w:val="00A35302"/>
    <w:rsid w:val="00A3660C"/>
    <w:rsid w:val="00A369EF"/>
    <w:rsid w:val="00A5404C"/>
    <w:rsid w:val="00A5511F"/>
    <w:rsid w:val="00A56046"/>
    <w:rsid w:val="00A656DC"/>
    <w:rsid w:val="00A71889"/>
    <w:rsid w:val="00A80031"/>
    <w:rsid w:val="00AA3FC8"/>
    <w:rsid w:val="00AB30A1"/>
    <w:rsid w:val="00AC1748"/>
    <w:rsid w:val="00AC47E1"/>
    <w:rsid w:val="00AC66FC"/>
    <w:rsid w:val="00AD7570"/>
    <w:rsid w:val="00AF00D2"/>
    <w:rsid w:val="00AF10E5"/>
    <w:rsid w:val="00AF45ED"/>
    <w:rsid w:val="00B050FF"/>
    <w:rsid w:val="00B05813"/>
    <w:rsid w:val="00B201EB"/>
    <w:rsid w:val="00B27AC2"/>
    <w:rsid w:val="00B36254"/>
    <w:rsid w:val="00B379DE"/>
    <w:rsid w:val="00B43C82"/>
    <w:rsid w:val="00B45605"/>
    <w:rsid w:val="00B517E8"/>
    <w:rsid w:val="00B5509F"/>
    <w:rsid w:val="00B751D3"/>
    <w:rsid w:val="00B80B2D"/>
    <w:rsid w:val="00B904D2"/>
    <w:rsid w:val="00BA6EB3"/>
    <w:rsid w:val="00BB0464"/>
    <w:rsid w:val="00BB1EC0"/>
    <w:rsid w:val="00BB5B3B"/>
    <w:rsid w:val="00BC3D24"/>
    <w:rsid w:val="00BD56C8"/>
    <w:rsid w:val="00BF1D04"/>
    <w:rsid w:val="00C14F01"/>
    <w:rsid w:val="00C340AB"/>
    <w:rsid w:val="00C429F2"/>
    <w:rsid w:val="00C601D8"/>
    <w:rsid w:val="00C61682"/>
    <w:rsid w:val="00C63763"/>
    <w:rsid w:val="00C64863"/>
    <w:rsid w:val="00C741E8"/>
    <w:rsid w:val="00C76E9F"/>
    <w:rsid w:val="00C828BD"/>
    <w:rsid w:val="00C90757"/>
    <w:rsid w:val="00CB013C"/>
    <w:rsid w:val="00CB1526"/>
    <w:rsid w:val="00CB30C9"/>
    <w:rsid w:val="00CC3DCB"/>
    <w:rsid w:val="00CC6DC4"/>
    <w:rsid w:val="00CD3C13"/>
    <w:rsid w:val="00CF576D"/>
    <w:rsid w:val="00CF7A2F"/>
    <w:rsid w:val="00D03426"/>
    <w:rsid w:val="00D068CE"/>
    <w:rsid w:val="00D2051F"/>
    <w:rsid w:val="00D32F1D"/>
    <w:rsid w:val="00D52A76"/>
    <w:rsid w:val="00D5687C"/>
    <w:rsid w:val="00D65B90"/>
    <w:rsid w:val="00D7095D"/>
    <w:rsid w:val="00D83062"/>
    <w:rsid w:val="00D83A90"/>
    <w:rsid w:val="00D8442C"/>
    <w:rsid w:val="00D85478"/>
    <w:rsid w:val="00DB48F8"/>
    <w:rsid w:val="00E00FF6"/>
    <w:rsid w:val="00E24237"/>
    <w:rsid w:val="00E31962"/>
    <w:rsid w:val="00E33AB8"/>
    <w:rsid w:val="00E34F76"/>
    <w:rsid w:val="00E37BA0"/>
    <w:rsid w:val="00E40693"/>
    <w:rsid w:val="00E77CC8"/>
    <w:rsid w:val="00E80C4F"/>
    <w:rsid w:val="00E82F14"/>
    <w:rsid w:val="00E854AA"/>
    <w:rsid w:val="00E856B9"/>
    <w:rsid w:val="00E86745"/>
    <w:rsid w:val="00E91669"/>
    <w:rsid w:val="00EA4223"/>
    <w:rsid w:val="00EB7C1B"/>
    <w:rsid w:val="00EE2BAC"/>
    <w:rsid w:val="00EE5829"/>
    <w:rsid w:val="00EF1CF7"/>
    <w:rsid w:val="00EF51F7"/>
    <w:rsid w:val="00EF5446"/>
    <w:rsid w:val="00EF5A12"/>
    <w:rsid w:val="00F10AA4"/>
    <w:rsid w:val="00F35D9E"/>
    <w:rsid w:val="00F602CC"/>
    <w:rsid w:val="00F65447"/>
    <w:rsid w:val="00F86BE2"/>
    <w:rsid w:val="00FB5E15"/>
    <w:rsid w:val="00FB6910"/>
    <w:rsid w:val="00FC34E7"/>
    <w:rsid w:val="00FD4BB1"/>
    <w:rsid w:val="00FD50E1"/>
    <w:rsid w:val="00FE447E"/>
    <w:rsid w:val="00FF1CFA"/>
    <w:rsid w:val="01E16CF5"/>
    <w:rsid w:val="04F002D4"/>
    <w:rsid w:val="0542A6A2"/>
    <w:rsid w:val="06B4DE18"/>
    <w:rsid w:val="0850AE79"/>
    <w:rsid w:val="0A4706BE"/>
    <w:rsid w:val="0B7BCF29"/>
    <w:rsid w:val="103617EF"/>
    <w:rsid w:val="10EBD45F"/>
    <w:rsid w:val="12295BB3"/>
    <w:rsid w:val="13D3F759"/>
    <w:rsid w:val="18EC78BD"/>
    <w:rsid w:val="19008474"/>
    <w:rsid w:val="1AF66597"/>
    <w:rsid w:val="1E14DDFC"/>
    <w:rsid w:val="264776A1"/>
    <w:rsid w:val="27792733"/>
    <w:rsid w:val="2914F794"/>
    <w:rsid w:val="2C927BC9"/>
    <w:rsid w:val="2FDA3BAA"/>
    <w:rsid w:val="316A900E"/>
    <w:rsid w:val="3249958F"/>
    <w:rsid w:val="33CC8D6D"/>
    <w:rsid w:val="37FE4A16"/>
    <w:rsid w:val="3BE41F64"/>
    <w:rsid w:val="3D7FEFC5"/>
    <w:rsid w:val="410466AC"/>
    <w:rsid w:val="415B0B69"/>
    <w:rsid w:val="4428B8C5"/>
    <w:rsid w:val="4602093C"/>
    <w:rsid w:val="462E7C8C"/>
    <w:rsid w:val="4A78802D"/>
    <w:rsid w:val="5087C911"/>
    <w:rsid w:val="524E778D"/>
    <w:rsid w:val="55D715E9"/>
    <w:rsid w:val="57DBB5F2"/>
    <w:rsid w:val="58BB0B4D"/>
    <w:rsid w:val="5B5996C9"/>
    <w:rsid w:val="60034938"/>
    <w:rsid w:val="619F1999"/>
    <w:rsid w:val="6A74ECFE"/>
    <w:rsid w:val="6A844CAA"/>
    <w:rsid w:val="6BF5F0AF"/>
    <w:rsid w:val="701E0CEC"/>
    <w:rsid w:val="70E42E82"/>
    <w:rsid w:val="7763491C"/>
    <w:rsid w:val="7950EE93"/>
    <w:rsid w:val="7C072430"/>
    <w:rsid w:val="7CC3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DF3E"/>
  <w15:chartTrackingRefBased/>
  <w15:docId w15:val="{C0D1F040-56B4-41DF-8DB8-E22F0E20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90"/>
  </w:style>
  <w:style w:type="paragraph" w:styleId="Heading1">
    <w:name w:val="heading 1"/>
    <w:basedOn w:val="Normal"/>
    <w:next w:val="Normal"/>
    <w:link w:val="Heading1Char"/>
    <w:uiPriority w:val="9"/>
    <w:qFormat/>
    <w:rsid w:val="00D65B9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65B9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65B90"/>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65B90"/>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65B90"/>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65B90"/>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65B90"/>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65B9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65B9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A0046"/>
    <w:rPr>
      <w:color w:val="0000FF"/>
      <w:u w:val="single"/>
    </w:rPr>
  </w:style>
  <w:style w:type="character" w:styleId="Emphasis">
    <w:name w:val="Emphasis"/>
    <w:uiPriority w:val="20"/>
    <w:qFormat/>
    <w:rsid w:val="00D65B90"/>
    <w:rPr>
      <w:caps/>
      <w:color w:val="1F3763" w:themeColor="accent1" w:themeShade="7F"/>
      <w:spacing w:val="5"/>
    </w:rPr>
  </w:style>
  <w:style w:type="paragraph" w:styleId="NormalWeb">
    <w:name w:val="Normal (Web)"/>
    <w:basedOn w:val="Normal"/>
    <w:uiPriority w:val="99"/>
    <w:unhideWhenUsed/>
    <w:rsid w:val="00EB7C1B"/>
    <w:pPr>
      <w:spacing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9E5A69"/>
  </w:style>
  <w:style w:type="character" w:customStyle="1" w:styleId="Heading1Char">
    <w:name w:val="Heading 1 Char"/>
    <w:basedOn w:val="DefaultParagraphFont"/>
    <w:link w:val="Heading1"/>
    <w:uiPriority w:val="9"/>
    <w:rsid w:val="00D65B90"/>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D65B90"/>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65B90"/>
    <w:rPr>
      <w:caps/>
      <w:color w:val="1F3763" w:themeColor="accent1" w:themeShade="7F"/>
      <w:spacing w:val="15"/>
    </w:rPr>
  </w:style>
  <w:style w:type="character" w:customStyle="1" w:styleId="Heading4Char">
    <w:name w:val="Heading 4 Char"/>
    <w:basedOn w:val="DefaultParagraphFont"/>
    <w:link w:val="Heading4"/>
    <w:uiPriority w:val="9"/>
    <w:semiHidden/>
    <w:rsid w:val="00D65B90"/>
    <w:rPr>
      <w:caps/>
      <w:color w:val="2F5496" w:themeColor="accent1" w:themeShade="BF"/>
      <w:spacing w:val="10"/>
    </w:rPr>
  </w:style>
  <w:style w:type="character" w:customStyle="1" w:styleId="Heading5Char">
    <w:name w:val="Heading 5 Char"/>
    <w:basedOn w:val="DefaultParagraphFont"/>
    <w:link w:val="Heading5"/>
    <w:uiPriority w:val="9"/>
    <w:semiHidden/>
    <w:rsid w:val="00D65B90"/>
    <w:rPr>
      <w:caps/>
      <w:color w:val="2F5496" w:themeColor="accent1" w:themeShade="BF"/>
      <w:spacing w:val="10"/>
    </w:rPr>
  </w:style>
  <w:style w:type="character" w:customStyle="1" w:styleId="Heading6Char">
    <w:name w:val="Heading 6 Char"/>
    <w:basedOn w:val="DefaultParagraphFont"/>
    <w:link w:val="Heading6"/>
    <w:uiPriority w:val="9"/>
    <w:semiHidden/>
    <w:rsid w:val="00D65B90"/>
    <w:rPr>
      <w:caps/>
      <w:color w:val="2F5496" w:themeColor="accent1" w:themeShade="BF"/>
      <w:spacing w:val="10"/>
    </w:rPr>
  </w:style>
  <w:style w:type="character" w:customStyle="1" w:styleId="Heading7Char">
    <w:name w:val="Heading 7 Char"/>
    <w:basedOn w:val="DefaultParagraphFont"/>
    <w:link w:val="Heading7"/>
    <w:uiPriority w:val="9"/>
    <w:semiHidden/>
    <w:rsid w:val="00D65B90"/>
    <w:rPr>
      <w:caps/>
      <w:color w:val="2F5496" w:themeColor="accent1" w:themeShade="BF"/>
      <w:spacing w:val="10"/>
    </w:rPr>
  </w:style>
  <w:style w:type="character" w:customStyle="1" w:styleId="Heading8Char">
    <w:name w:val="Heading 8 Char"/>
    <w:basedOn w:val="DefaultParagraphFont"/>
    <w:link w:val="Heading8"/>
    <w:uiPriority w:val="9"/>
    <w:semiHidden/>
    <w:rsid w:val="00D65B90"/>
    <w:rPr>
      <w:caps/>
      <w:spacing w:val="10"/>
      <w:sz w:val="18"/>
      <w:szCs w:val="18"/>
    </w:rPr>
  </w:style>
  <w:style w:type="character" w:customStyle="1" w:styleId="Heading9Char">
    <w:name w:val="Heading 9 Char"/>
    <w:basedOn w:val="DefaultParagraphFont"/>
    <w:link w:val="Heading9"/>
    <w:uiPriority w:val="9"/>
    <w:semiHidden/>
    <w:rsid w:val="00D65B90"/>
    <w:rPr>
      <w:i/>
      <w:iCs/>
      <w:caps/>
      <w:spacing w:val="10"/>
      <w:sz w:val="18"/>
      <w:szCs w:val="18"/>
    </w:rPr>
  </w:style>
  <w:style w:type="paragraph" w:styleId="Caption">
    <w:name w:val="caption"/>
    <w:basedOn w:val="Normal"/>
    <w:next w:val="Normal"/>
    <w:uiPriority w:val="35"/>
    <w:semiHidden/>
    <w:unhideWhenUsed/>
    <w:qFormat/>
    <w:rsid w:val="00D65B90"/>
    <w:rPr>
      <w:b/>
      <w:bCs/>
      <w:color w:val="2F5496" w:themeColor="accent1" w:themeShade="BF"/>
      <w:sz w:val="16"/>
      <w:szCs w:val="16"/>
    </w:rPr>
  </w:style>
  <w:style w:type="paragraph" w:styleId="Title">
    <w:name w:val="Title"/>
    <w:basedOn w:val="Normal"/>
    <w:next w:val="Normal"/>
    <w:link w:val="TitleChar"/>
    <w:uiPriority w:val="10"/>
    <w:qFormat/>
    <w:rsid w:val="00D65B90"/>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65B90"/>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65B9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65B90"/>
    <w:rPr>
      <w:caps/>
      <w:color w:val="595959" w:themeColor="text1" w:themeTint="A6"/>
      <w:spacing w:val="10"/>
      <w:sz w:val="21"/>
      <w:szCs w:val="21"/>
    </w:rPr>
  </w:style>
  <w:style w:type="character" w:styleId="Strong">
    <w:name w:val="Strong"/>
    <w:uiPriority w:val="22"/>
    <w:qFormat/>
    <w:rsid w:val="00D65B90"/>
    <w:rPr>
      <w:b/>
      <w:bCs/>
    </w:rPr>
  </w:style>
  <w:style w:type="paragraph" w:styleId="NoSpacing">
    <w:name w:val="No Spacing"/>
    <w:uiPriority w:val="1"/>
    <w:qFormat/>
    <w:rsid w:val="00D65B90"/>
    <w:pPr>
      <w:spacing w:after="0" w:line="240" w:lineRule="auto"/>
    </w:pPr>
  </w:style>
  <w:style w:type="paragraph" w:styleId="Quote">
    <w:name w:val="Quote"/>
    <w:basedOn w:val="Normal"/>
    <w:next w:val="Normal"/>
    <w:link w:val="QuoteChar"/>
    <w:uiPriority w:val="29"/>
    <w:qFormat/>
    <w:rsid w:val="00D65B90"/>
    <w:rPr>
      <w:i/>
      <w:iCs/>
      <w:sz w:val="24"/>
      <w:szCs w:val="24"/>
    </w:rPr>
  </w:style>
  <w:style w:type="character" w:customStyle="1" w:styleId="QuoteChar">
    <w:name w:val="Quote Char"/>
    <w:basedOn w:val="DefaultParagraphFont"/>
    <w:link w:val="Quote"/>
    <w:uiPriority w:val="29"/>
    <w:rsid w:val="00D65B90"/>
    <w:rPr>
      <w:i/>
      <w:iCs/>
      <w:sz w:val="24"/>
      <w:szCs w:val="24"/>
    </w:rPr>
  </w:style>
  <w:style w:type="paragraph" w:styleId="IntenseQuote">
    <w:name w:val="Intense Quote"/>
    <w:basedOn w:val="Normal"/>
    <w:next w:val="Normal"/>
    <w:link w:val="IntenseQuoteChar"/>
    <w:uiPriority w:val="30"/>
    <w:qFormat/>
    <w:rsid w:val="00D65B90"/>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65B90"/>
    <w:rPr>
      <w:color w:val="4472C4" w:themeColor="accent1"/>
      <w:sz w:val="24"/>
      <w:szCs w:val="24"/>
    </w:rPr>
  </w:style>
  <w:style w:type="character" w:styleId="SubtleEmphasis">
    <w:name w:val="Subtle Emphasis"/>
    <w:uiPriority w:val="19"/>
    <w:qFormat/>
    <w:rsid w:val="00D65B90"/>
    <w:rPr>
      <w:i/>
      <w:iCs/>
      <w:color w:val="1F3763" w:themeColor="accent1" w:themeShade="7F"/>
    </w:rPr>
  </w:style>
  <w:style w:type="character" w:styleId="IntenseEmphasis">
    <w:name w:val="Intense Emphasis"/>
    <w:uiPriority w:val="21"/>
    <w:qFormat/>
    <w:rsid w:val="00D65B90"/>
    <w:rPr>
      <w:b/>
      <w:bCs/>
      <w:caps/>
      <w:color w:val="1F3763" w:themeColor="accent1" w:themeShade="7F"/>
      <w:spacing w:val="10"/>
    </w:rPr>
  </w:style>
  <w:style w:type="character" w:styleId="SubtleReference">
    <w:name w:val="Subtle Reference"/>
    <w:uiPriority w:val="31"/>
    <w:qFormat/>
    <w:rsid w:val="00D65B90"/>
    <w:rPr>
      <w:b/>
      <w:bCs/>
      <w:color w:val="4472C4" w:themeColor="accent1"/>
    </w:rPr>
  </w:style>
  <w:style w:type="character" w:styleId="IntenseReference">
    <w:name w:val="Intense Reference"/>
    <w:uiPriority w:val="32"/>
    <w:qFormat/>
    <w:rsid w:val="00D65B90"/>
    <w:rPr>
      <w:b/>
      <w:bCs/>
      <w:i/>
      <w:iCs/>
      <w:caps/>
      <w:color w:val="4472C4" w:themeColor="accent1"/>
    </w:rPr>
  </w:style>
  <w:style w:type="character" w:styleId="BookTitle">
    <w:name w:val="Book Title"/>
    <w:uiPriority w:val="33"/>
    <w:qFormat/>
    <w:rsid w:val="00D65B90"/>
    <w:rPr>
      <w:b/>
      <w:bCs/>
      <w:i/>
      <w:iCs/>
      <w:spacing w:val="0"/>
    </w:rPr>
  </w:style>
  <w:style w:type="paragraph" w:styleId="TOCHeading">
    <w:name w:val="TOC Heading"/>
    <w:basedOn w:val="Heading1"/>
    <w:next w:val="Normal"/>
    <w:uiPriority w:val="39"/>
    <w:semiHidden/>
    <w:unhideWhenUsed/>
    <w:qFormat/>
    <w:rsid w:val="00D65B9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6669">
      <w:bodyDiv w:val="1"/>
      <w:marLeft w:val="0"/>
      <w:marRight w:val="0"/>
      <w:marTop w:val="0"/>
      <w:marBottom w:val="0"/>
      <w:divBdr>
        <w:top w:val="none" w:sz="0" w:space="0" w:color="auto"/>
        <w:left w:val="none" w:sz="0" w:space="0" w:color="auto"/>
        <w:bottom w:val="none" w:sz="0" w:space="0" w:color="auto"/>
        <w:right w:val="none" w:sz="0" w:space="0" w:color="auto"/>
      </w:divBdr>
    </w:div>
    <w:div w:id="240916038">
      <w:bodyDiv w:val="1"/>
      <w:marLeft w:val="0"/>
      <w:marRight w:val="0"/>
      <w:marTop w:val="0"/>
      <w:marBottom w:val="0"/>
      <w:divBdr>
        <w:top w:val="none" w:sz="0" w:space="0" w:color="auto"/>
        <w:left w:val="none" w:sz="0" w:space="0" w:color="auto"/>
        <w:bottom w:val="none" w:sz="0" w:space="0" w:color="auto"/>
        <w:right w:val="none" w:sz="0" w:space="0" w:color="auto"/>
      </w:divBdr>
    </w:div>
    <w:div w:id="659699324">
      <w:bodyDiv w:val="1"/>
      <w:marLeft w:val="0"/>
      <w:marRight w:val="0"/>
      <w:marTop w:val="0"/>
      <w:marBottom w:val="0"/>
      <w:divBdr>
        <w:top w:val="none" w:sz="0" w:space="0" w:color="auto"/>
        <w:left w:val="none" w:sz="0" w:space="0" w:color="auto"/>
        <w:bottom w:val="none" w:sz="0" w:space="0" w:color="auto"/>
        <w:right w:val="none" w:sz="0" w:space="0" w:color="auto"/>
      </w:divBdr>
    </w:div>
    <w:div w:id="11223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349D9A0C47458D0FC5F9A35713C4" ma:contentTypeVersion="7" ma:contentTypeDescription="Create a new document." ma:contentTypeScope="" ma:versionID="26981e4d141c56422d5c47a2733a30d0">
  <xsd:schema xmlns:xsd="http://www.w3.org/2001/XMLSchema" xmlns:xs="http://www.w3.org/2001/XMLSchema" xmlns:p="http://schemas.microsoft.com/office/2006/metadata/properties" xmlns:ns2="d945a82b-6d35-45f8-886f-20fe9070612b" targetNamespace="http://schemas.microsoft.com/office/2006/metadata/properties" ma:root="true" ma:fieldsID="082440a56c2e876e4cfca5eda728a660" ns2:_="">
    <xsd:import namespace="d945a82b-6d35-45f8-886f-20fe907061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5a82b-6d35-45f8-886f-20fe90706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0AD90-5E90-4B45-BCCB-0C963AA78E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CC3B65-0131-4A59-ABB0-27C1701E8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5a82b-6d35-45f8-886f-20fe90706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3391A-FB29-4224-B8DC-EC9DA9E3A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2337</Words>
  <Characters>13327</Characters>
  <Application>Microsoft Office Word</Application>
  <DocSecurity>0</DocSecurity>
  <Lines>111</Lines>
  <Paragraphs>31</Paragraphs>
  <ScaleCrop>false</ScaleCrop>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Langston</dc:creator>
  <cp:keywords/>
  <dc:description/>
  <cp:lastModifiedBy>Natalie Gibb</cp:lastModifiedBy>
  <cp:revision>6</cp:revision>
  <dcterms:created xsi:type="dcterms:W3CDTF">2023-11-13T20:22:00Z</dcterms:created>
  <dcterms:modified xsi:type="dcterms:W3CDTF">2024-07-04T16:20:00Z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0x010100CC15349D9A0C47458D0FC5F9A35713C4</vt:lpwstr>
  </property>
</Properties>
</file>